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AARP/482/2015 vom 2. Oktober 2015</w:t>
      </w:r>
    </w:p>
    <w:p>
      <w:r>
        <w:t>GE Cour de justice, 2015-10-02, FR</w:t>
      </w:r>
    </w:p>
    <w:p>
      <w:r>
        <w:rPr>
          <w:b/>
        </w:rPr>
        <w:t xml:space="preserve">Quelle: </w:t>
      </w:r>
      <w:r>
        <w:t>https://mcp.opencaselaw.ch/entscheid/ge_gerichte_AARP_482_2015</w:t>
      </w:r>
    </w:p>
    <w:p>
      <w:r>
        <w:t>FR: GE_GERICHTE AARP/482/2015 du 2 octobre 2015</w:t>
      </w:r>
    </w:p>
    <w:p>
      <w:r>
        <w:t>IT: GE_GERICHTE AARP/482/2015 del 2 ottobre 2015</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Conformément aux art. 403 al. 4 et 331 al. 1 CPP, applicable par renvoi de l'art. 405 al. 1 CPP, la direction de la procédure statue sur les réquisitions de preuve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w:t>
      </w:r>
    </w:p>
    <w:p>
      <w:r>
        <w:rPr>
          <w:b/>
        </w:rPr>
        <w:t>E. 2.2</w:t>
      </w:r>
    </w:p>
    <w:p>
      <w:r>
        <w:t>Aux termes de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Cette disposition concrétise la volonté de recherche de la vérité matérielle, pour laquelle l'autorité a un rôle actif à jouer. Les preuves sont nécessaires lorsqu'elles pourraient avoir une influence sur le sort du litige (Message relatif à l'unification du droit de la procédure pénale (CPP) du 21 décembre 2005, FF 2006 1294).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(arrêts du Tribunal fédéral 6B_654/2013 du 31 octobre 2013 consid. 2.2, 6B_614/2012 du 15 février 2013 consid. 3.2.3 et 6B_509/2012 du 22 novembre 2012 consid. 3.2). Conformément à l'art. 139 al. 2 CPP, il n'y a pas lieu d'administrer des preuves sur des faits non pertinents, notoires, connus de l'autorité ou déjà suffisamment prouvés.</w:t>
      </w:r>
    </w:p>
    <w:p>
      <w:r>
        <w:t>- 17/40 - P/21618/2014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p. 236 ; arrêt du Tribunal fédéral 6B_154/2014 du 17 novembre 2014 consid. 3.1).</w:t>
      </w:r>
    </w:p>
    <w:p>
      <w:r>
        <w:rPr>
          <w:b/>
        </w:rPr>
        <w:t>E. 2.3</w:t>
      </w:r>
    </w:p>
    <w:p>
      <w:r>
        <w:t>Le droit d'être confronté, au moins une fois, aux témoins à charge est absolu (ATF 131 I 476 consid. 2.2 p. 481), y compris lorsque les dépositions décisives ont été recueillies par la police (ATF 125 I 129 consid. 6a p. 132), faute de quoi ces preuves ne pourront en principe pas être exploitées à charge du prévenu. Leur caractère inexploitable, maintenant exprimé à l'art. 147 al. 4 CPP, vaut toutefois sous réserve des limites posées à l'art. 147 al. 3, 2e phrase, CPP (N. SCHMID, Schweizerische Strafprozessordnung : Praxiskommentar, Zurich 2009, n. 15 ad art. 147). Selon l'art. 147 al. 3, 2e phrase, CPP, il peut être renoncé à répéter l'administration de preuves qui s'est tenue en l'absence d'une partie ou de son conseil, si cette répétition entraînerait des frais et démarches disproportionnés et que le droit des parties peut être satisfait d'une autre manière. Le lieu de séjour inconnu du témoin est une raison de renoncer à la répétition (N. SCHMID, op. cit., n. 14 ad art. 147). L'autorité pénale n'a pas à envisager celle-ci d'office : le prévenu doit la demander (N. SCHMID, op. cit., n. 11 ad art. 147). Si elle doit avoir lieu, il est préférable qu'elle intervienne au même stade de la procédure, soit en principe pendant la procédure préliminaire, même si elle pourrait l'être encore devant l'autorité de jugement (art. 343 al. 2 CPP) ; sinon le droit de participation risquerait d'être réduit à une simple confrontation lors des débats, ce qui ne se concilie pas avec la lettre de l'art. 147 al. 1 CPP, selon laquelle ce droit s'applique aussi à l'administration des preuves par le ministère public (ACPR/146/2012 du 11 avril 2012 ; M. NIGGLI / M. HEER / H. WIPRÄCHTIGER, Schweizerische Strafprozessordnung / Schweizerische Jugendstrafprozessordnung, Basler Kommentar StPO/JStPO, Bâle 2011, n. 17 ad art. 147). Le droit du prévenu de faire poser des questions à un témoin à charge, ancré aux art.</w:t>
      </w:r>
    </w:p>
    <w:p>
      <w:r>
        <w:rPr>
          <w:b/>
        </w:rPr>
        <w:t>E. 2.4</w:t>
      </w:r>
    </w:p>
    <w:p>
      <w:r>
        <w:t>En l'espèce, une confrontation avec la partie plaignante s'avère impossible à mettre en œuvre au vu de l'absence de toute information quant à sa localisation, sans que ce fait ne soit imputable à une faute du MP et/ou des autorités de jugement. Les auditions de G______, H______ et de l'appelant C______ n'apparaissent pas nécessaires dans la mesure où ceux-ci ont déjà été entendus à de nombreuses reprises, notamment en audience contradictoire le 8 janvier 2015, et qu'une nouvelle audition ne serait pas de nature à modifier le résultat des preuves déjà administrées. Pour le surplus, la CPAR fait siens les motifs de l'ordonnance présidentielle OARP/241/2015 du 24 juillet 2015 qui ont présidé au refus de donner suite aux réquisitions de preuve précitées. 3. 3.1. Le principe in dubio pro reo, qui découle de la présomption d'innocence, garantie par l'art. 6 ch. 2 CEDH et, sur le plan interne, par les art. 32 al. 1 de la Constitution fédérale de la Confédération suisse du 18 avril 1999 [Cst. ; RS 101] et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w:t>
      </w:r>
    </w:p>
    <w:p>
      <w:r>
        <w:t>- 19/40 - P/21618/2014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3.2. Aux termes de l'art. 122 CP, celui qui, intentionnellement, aura blessé une personne de façon à mettre sa vie en danger,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celui qui, intentionnellement, aura fait subir à une personne toute autre atteinte grave à l'intégrité corporelle ou à la santé physique ou mentale, sera puni d'une peine privative de liberté de dix ans au plus ou d'une peine pécuniaire de 180 jours-amende au moins. Selon l'art. 22 al. 1 CP, le juge peut atténuer la peine si l'exécution d'un crime ou d'un délit n'est pas poursuivie jusqu'à son terme ou que le résultat nécessaire à la consommation de l'infraction ne se produit pas ou ne pouvait pas se produire 3.3. Aux termes de l'art. 134 CP, se rend coupable d'agression celui qui aura participé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 Pour que l'infraction d'agression soit retenue, il faut qu'une ou plusieurs des personnes agressées soient blessées ou tuées. Il s'agit là d'une condition objective de punissabilité (non d'un élément constitutif) qui, lorsqu'elle fait défaut, exclut l'infraction d'agression, y compris sous la forme tentée (arrêt du Tribunal fédéral 6B_101/2014 du 10 novembre 2014 consid. 2). La mort ou la lésion corporelle doivent résulter de l'agression ou des événements qui l'ont suivi immédiatement</w:t>
      </w:r>
    </w:p>
    <w:p>
      <w:r>
        <w:t>- 20/40 - P/21618/2014 (cf. ATF 106 IV 246 consid. 3f p. 253 ; arrêt du Tribunal fédéral 6B_658/2008 du</w:t>
      </w:r>
    </w:p>
    <w:p>
      <w:r>
        <w:rPr>
          <w:b/>
        </w:rPr>
        <w:t>E. 2.4.1</w:t>
      </w:r>
    </w:p>
    <w:p>
      <w:r>
        <w:t>p. 249 ; ATF 140 I 125 consid. 3.5 p. 135 s).</w:t>
      </w:r>
    </w:p>
    <w:p>
      <w:r>
        <w:t>- 33/40 - P/21618/2014 5.1.4. Dans un arrêt récent, le Tribunal fédéral a considéré que, dans le cadre d'une période prolongée de 531 jours pendant laquelle un prévenu avait séjourné la plupart du temps dans une cellule de moins de 4 mètres carrés d'espace individuel, des laps de temps de respectivement 7 et 12 nuits n'étaient pas suffisants pour interrompre le délai indicatif de trois mois au-delà duquel les conditions de détention n'étaient plus tolérables et dès lors contraires à la dignité humaine. Déduction faite des jours pendant lesquels les conditions de détention avaient été conformes à l'art. 3 CEDH, la période de détention non conforme avait duré 507 jours (arrêt du Tribunal fédéral 1B_152/2015 du 29 septembre 2015 consid. 2.7.2) Récemment également, le Tribunal fédéral a eu à se pencher sur le cas d'un autre prévenu qui n'avait pas demandé à occuper une place de travail et avait séjourné dans une cellule de moins de 4 mètres carrés de surface individuelle nette pendant deux périodes consécutives de respectivement 184 et 149 jours, interrompues par 14 jours/nuits durant lesquels il avait disposé d'un espace individuel net allant de 5.09 à 10.18 mètres carrés. Le Tribunal fédéral a premièrement retenu que le laps de temps de 14 jours/nuits n'était pas suffisamment long pour interrompre le délai indicatif de trois mois au-delà duquel les conditions de détention n'étaient plus tolérables et dès lors contraires à la dignité humaine et que, déduction faite des jours pendant lesquels les conditions de détention avaient été conformes à l'art. 3 CEDH, la période de détention non conforme avait duré 328 jours. Il s'est ensuite interrogé sur la question de savoir si le fait de ne pas demander à occuper une place de travail, alors qu'un tel travail aurait été de nature à diminuer le temps passé en cellule et ainsi améliorer les conditions de détention, permettait de rendre les conditions de détention susmentionnées conformes à l'art. 3 CEDH. A cet égard, il a estimé que la possibilité de sortir de la cellule, entre une heure par jour et 5h45 par jour une semaine sur deux, était certes susceptible d'alléger les conditions, mais qu'une telle condition ne suffisait pas en soi, dans le cas d'espèce, à rendre ces conditions de détention conformes à l'art. 3 CEDH, et ce même dans l'hypothèse d'une prise de travail effective par le détenu (arrêt du Tribunal fédéral 1B_239/2015 du 29 septembre 2015 consid. 2.5.2 et 2.5.3). 5.2. Selon le rapport du 25 août 2015 de la prison de Champ-Dollon, l'appelant A______ a séjourné à deux reprises dans une cellule ne lui offrant qu'un espace individuel net de 3.39 mètres carrés, en compagnie de deux autres détenus. Toutefois, ces périodes n'ont duré respectivement que 20 et 78 jours. Entre-temps, et à raison de 5 et 18 jours, l'appelant A______ a pu bénéficier d'un espace individuel net bien supérieur au seuil minimal toléré par la jurisprudence. Il convient par ailleurs de relever que, contrairement à d'autres détenus avec lesquels il a partagé sa cellule, l'appelant A______ n'a pas demandé à bénéficier d'une place de travail, alors qu'un tel travail lui aurait permis de passer d'avantage de temps hors de sa cellule, s'il s'y estimait trop à l'étroit. Le transfert à l'aile est de la prison, préalable à l'octroi d'une place de travail, offre par ailleurs des cellules plus</w:t>
      </w:r>
    </w:p>
    <w:p>
      <w:r>
        <w:t>- 34/40 - P/21618/2014 spacieuses. Certes, au vu de la jurisprudence susmentionnée, le refus de travailler n'est en soi pas suffisant pour rendre licites les conditions d'une détention à l'occasion de laquelle un prévenu aurait séjourné pendant presqu'une année dans une cellule de moins de 4 mètres carrés. Il n'en demeure pas moins que, dans le cas d'espèce, l'appelant A______ ne s'est vu confiner dans un espace individuel insuffisant que pendant des périodes de 20 et 78 jours, soit à peine plus longtemps que le seuil critique de 90 jours. En sus, les périodes totales de confinement n'ont rien à voir avec celles des cas sur lesquels le Tribunal fédéral a eu à se prononcer (328 jours et 507 jours). Dans ces circonstances, les intervalles de 5 et 18 jours pendant lesquels il a pu bénéficier d'un espace individuel net bien supérieur à 4 mètres carrés prennent une toute autre résonnance, le rapport de 5/18 nuits sur 98 jours étant sans comparaison avec le rapport de 7/12 sur 507 jours défini comme insuffisant par le Tribunal fédéral. Au vu de ces éléments, l'appelant A______ n'a pas été détenu dans des conditions contraires à la dignité humaine. Partant, aucune réduction de peine ne lui sera octroyée.</w:t>
      </w:r>
    </w:p>
    <w:p>
      <w:r>
        <w:rPr>
          <w:b/>
        </w:rPr>
        <w:t>E. 6</w:t>
      </w:r>
    </w:p>
    <w:p>
      <w:r>
        <w:t>Vu l'issue de l'appel, les prétentions en indemnisation de l'appelant C______ sont infondées et seront rejetées (art. 429 CPP).</w:t>
      </w:r>
    </w:p>
    <w:p>
      <w:r>
        <w:rPr>
          <w:b/>
        </w:rPr>
        <w:t>E. 7</w:t>
      </w:r>
    </w:p>
    <w:p>
      <w:r>
        <w:t>Les appelants, qui succombent, seront condamnés chacun à la moitié des frais de la procédure d'appel, comprenant un émolument de décision de CHF 4'000.- (art. 428 CPP et 14 al. 1 let. e du Règlement fixant le tarif des frais en matière pénale du 22 décembre 2010 [RTFMP ; RS E 4 10.03].</w:t>
      </w:r>
    </w:p>
    <w:p>
      <w:r>
        <w:rPr>
          <w:b/>
        </w:rPr>
        <w:t>E. 8</w:t>
      </w:r>
    </w:p>
    <w:p>
      <w:r>
        <w:t>8.1.1.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w:t>
      </w:r>
    </w:p>
    <w:p>
      <w:r>
        <w:t>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w:t>
      </w:r>
    </w:p>
    <w:p>
      <w:r>
        <w:t>- 35/40 - P/21618/2014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8.1.2.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inspirée jusqu'à présent des "Instructions relatives à l'établissement de l'état de frais" et de l' "Etat de frais standard – Mode d'emploi et modèle" émis en 2002 et 2004, dans un souci de rationalisation et de simplification, par le Service de l'assistance juridique, autrefois chargé de la taxation.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w:t>
      </w:r>
    </w:p>
    <w:p>
      <w:r>
        <w:t>- 36/40 - P/21618/2014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8.2.1. En l'espèce, l'état de frais présenté par Me B______ pour l'activité déployée postérieurement au 27 mai 2015, date de la saisine de la CPAR, est composé de</w:t>
      </w:r>
    </w:p>
    <w:p>
      <w:r>
        <w:rPr>
          <w:b/>
        </w:rPr>
        <w:t>E. 11</w:t>
      </w:r>
    </w:p>
    <w:p>
      <w:r>
        <w:t>heures et 40 minutes d'activité de chef d'étude et de 5 heures et 55 minutes d'activité d'avocat-stagiaire. Les visites à la prison de Champ-Dollon effectuées entre le 1er juin 2015 et le 17 septembre 2015, de même que celle destinée à expliquer la motivation du présent arrêt à l'appelant A______, analphabète, seront admises dans leur intégralité. Quant à celle survenue le 9 octobre 2015, elle ne sera pas indemnisée dans la mesure où elle</w:t>
      </w:r>
    </w:p>
    <w:p>
      <w:r>
        <w:t>- 37/40 - P/21618/2014 est postérieure au 2 octobre 2015, date du dispositif de la CPAR, et que l'indemnisation de la visite à venir est assurée. Il convient d'ajouter à l'état de frais présenté par Me B______ les 4 heures qu'a duré l'audience du 22 septembre 2015. Pour le surplus, l'activité déployée par Me B______ et son stagiaire est en adéquation avec la nature, l'importance et la difficulté de la cause. Par conséquent, l'état de frais est admis à concurrence de 14 heures et 10 minutes d'activité de chef d'étude et de 5 heures et 55 minutes d'activité d'avocat-stagiaire, auxquelles il convient d'ajouter l'indemnisation forfaitaire de 10%. L'indemnisation requise sera ainsi accordée à hauteur de CHF 3'539.70 (TVA à 8% en sus de CHF 283.20). 8.2.2. L'état de frais présenté par Me D______ pour l'activité déployée postérieurement au 27 mai 2015 est composé de 6 heures d'activité de chef d'étude. Les 45 minutes consacrées aux recherches juridiques seront écartées dans la mesure où le temps consacré aux recherches juridiques, sauf questions particulièrement pointues, n'est pas indemnisé, l'État ne devant pas assumer la charge financière de la formation de l'avocat breveté. Le temps décompté pour l'audience devant la CPAR sera porté à 4 heures, durée effective de l'audience. Pour le surplus, l'activité déployée par Me D______ est en adéquation avec la nature, l'importance et la difficulté de la cause. Par conséquent, l'état de frais est admis à concurrence de 7 heures et 15 minutes d'activité de chef d'étude, auxquelles il convient d'ajouter l'indemnisation forfaitaire de 10%. L'indemnisation requise sera ainsi accordée à hauteur de CHF 1'595.- (TVA à 8% en sus de CHF 127.60). * * * * *</w:t>
      </w:r>
    </w:p>
    <w:p>
      <w:r>
        <w:t>- 38/40 - P/21618/2014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