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AARP/480/2015 vom 13. November 2015</w:t>
      </w:r>
    </w:p>
    <w:p>
      <w:r>
        <w:t>GE Cour de justice, 2015-11-13, FR</w:t>
      </w:r>
    </w:p>
    <w:p>
      <w:r>
        <w:rPr>
          <w:b/>
        </w:rPr>
        <w:t xml:space="preserve">Quelle: </w:t>
      </w:r>
      <w:r>
        <w:t>https://mcp.opencaselaw.ch/entscheid/ge_gerichte_AARP_480_2015</w:t>
      </w:r>
    </w:p>
    <w:p>
      <w:r>
        <w:t>FR: GE_GERICHTE AARP/480/2015 du 13 novembre 2015</w:t>
      </w:r>
    </w:p>
    <w:p>
      <w:r>
        <w:t>IT: GE_GERICHTE AARP/480/2015 del 13 novembre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- 14/27 - P/17721/2014</w:t>
      </w:r>
    </w:p>
    <w:p>
      <w:r>
        <w:rPr>
          <w:b/>
        </w:rPr>
        <w:t>E. 1.5</w:t>
      </w:r>
    </w:p>
    <w:p>
      <w:r>
        <w:t>et 1.6). L'indemnisation financière selon l'art. 429 al. 1 let. c CPP est ainsi subsidiaire à l'imputation et il n'existe aucun droit pour le prévenu concerné de choisir entre l'une ou l'autre voie. 5.2. En l'espèce il convient d'imputer les jours de détention avant jugement subie par l'appelant dans la présente procédure, soit 405 jours, sur la peine prononcée de sorte que la voie à une quelconque indemnisation ne lui est pas ouverte et que les prétentions en indemnisation fondées sur l'art. 429 al. 1 let. c CPP doivent être rejetées.</w:t>
      </w:r>
    </w:p>
    <w:p>
      <w:r>
        <w:t>- 22/27 - P/17721/2014 6. L'appelant ne remet, à juste titre, pas en cause les diverses confiscations, destructions et dévolution à l'Etat ordonnées par les premiers juges s'agissant de la drogue, du téléphone portable et des espèces saisies sur sa personne.</w:t>
      </w:r>
    </w:p>
    <w:p>
      <w:r>
        <w:rPr>
          <w:b/>
        </w:rPr>
        <w:t>E. 2.1</w:t>
      </w:r>
    </w:p>
    <w:p>
      <w:r>
        <w:t>La présomption d'innocence, dont le principe in dubio pro reo est le corollaire, est garantie par les art. 6 par. 2 de la CEDH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L'art. 19 al. 1 LStup punit d'une peine privative de liberté de trois ans au plus ou d'une peine pécuniaire, celui qui, sans droit entrepose, expédie, transporte, importe exporte des stupéfiants ou les passe en transit (let. b), celui qui possède, détient ou acquiert des stupéfiants ou s'en procure de toute autre manière (let. d) et celui qui prend des mesures aux fins de commettre une des infractions visées aux let. a à f (let. g). A teneur de l'art. 19 al. 2 let. a LStup, le cas est grave lorsque l'auteur sait ou ne peut ignorer que l'infraction peut directement ou indirectement mettre en danger la santé de nombreuses personnes. Selon la jurisprudence rendue sous l'empire de l'ancienne LStup, dont il n'y a pas lieu de se distancer, il y a cas grave, s'agissant de la cocaïne, dès que le trafic porte sur une quantité de 18 g de drogue pure (ATF 122 IV 363 consid. 2a, 120 IV 338 consid. 2a). L'art. 19 LStup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on d'un même comportement réprimé (par exemple la vente réitérée à la</w:t>
      </w:r>
    </w:p>
    <w:p>
      <w:r>
        <w:t>- 15/27 - P/17721/2014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 cependant pas en cause, sous l'angle de l'application du principe ne bis in idem, la nature indépendante des infractions elles- mêmes (arrêt du Tribunal fédéral 6B_704/2012 du 3 avril 2013 consid. 1.2). L'infraction est intentionnelle. Le dol éventuel suffit (ATF 126 IV 201 consid. 2).</w:t>
      </w:r>
    </w:p>
    <w:p>
      <w:r>
        <w:rPr>
          <w:b/>
        </w:rPr>
        <w:t>E. 3</w:t>
      </w:r>
    </w:p>
    <w:p>
      <w:r>
        <w:t>De la réception de la cocaïne importée par l'intimé C______ le 5 octobre 2014 3.3.1. En l'espèce, il est établi que l'appelant a été interpellé dans l'appartement qu'il disait occuper seul, à la rue F______, depuis environ un mois, en présence des intimés C______ et D______. Le premier venait d'y expulser la majeure partie des 43 "doigts" de cocaïne qu'il avait transportés par avion de Lisbonne à Bâle, puis par train jusqu'à Genève. L'appelant A______ était allé chercher cette "mule" à son arrivée à Genève à la gare routière, pour la conduire jusqu'à son appartement. L'intimé D______ était arrivé sur place un peu plus tard dans la soirée, en provenance de Lisbonne, après avoir été accueilli par l'appelant à la poste des G______. Tant l'intimé C______ que D______ ont affirmé que l'appelant était le récipiendaire de cette drogue et devait remettre au premier EUR 1'530.- pour le transport, le second devant être rétribué pour son rôle de "surveillance" de la livraison à son retour à Lisbonne, sur l'argent que l'appelant devait lui remettre. Dans l'appartement de la rue F______, ont été retrouvés 477.60 g net de cocaïne en trois lots distincts, dont le taux de pureté était compris entre 45.3 % et 53.8%. Un sachet, contenant 32 ovules remplis avec 317 g net de cocaïne (161.1 g de cocaïne pure) avait été placé par l'intimé C______ sous le lavabo de la salle de bain. Un sachet, contenant cinq ovules de 50 g net de cocaïne (24.9 g de cocaïne pure) se trouvait sur un porte-manteau derrière la porte de la salle de bain, l'intimé C______ ayant contesté de manière constante avoir un lien avec ce "lot", et été acquitté en première instance, pour l'importation de ces cinq ovules. Un dernier sachet, contenant trois ovules de 110 g de cocaïne (55.9 g de cocaïne pure), a enfin été retrouvé dans un sac à dos situé dans le salon de l'appartement, correspondant aux trois plus gros ovules que l'intimé C______ a reconnus avoir transportés, placés dans son slip, et non ingérés, étant rappelé qu'il a terminé d'expulser huit ovules, contenant 79.2 g net de cocaïne (42.84 g de cocaïne pure), au quartier cellulaire des HUG.</w:t>
      </w:r>
    </w:p>
    <w:p>
      <w:r>
        <w:t>- 16/27 - P/17721/2014 Les observations de la police et les écoutes téléphoniques, en particulier celles des</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En matière de trafic de stupéfiants, il y a lieu de tenir compte, plus spécialement, des circonstances suivantes (arrêt du Tribunal fédéral 6B_843/2014 du</w:t>
      </w:r>
    </w:p>
    <w:p>
      <w:r>
        <w:rPr>
          <w:b/>
        </w:rPr>
        <w:t>E. 4.2</w:t>
      </w:r>
    </w:p>
    <w:p>
      <w:r>
        <w:t>En l'espèce, la faute de A______ doit être qualifiée de grave. Alors qu'il avait déjà été condamné à une peine privative de liberté de 12 mois pour des faits spécifiques, en 2010, l'appelant s'est à nouveau livré à un trafic de cocaïne, démontrant ainsi une totale absence de prise de conscience et le peu de cas qu'il faisait du jugement prononcé à son encontre. Le réseau auquel il appartenait, et au sein duquel il occupait une position importante, présentait des ramifications internationales, son ou ses fournisseurs se trouvant à l'étranger. Il était en mesure tant de se procurer des quantités de cocaïne importante, d'un taux de pureté élevé, que de les écouler sur le marché genevois. Ses agissements ont par ailleurs porté sur une quantité non négligeable de drogue, à savoir 700 g nets. Sa collaboration à la procédure a été mauvaise. Tout au long de celle-ci, il a persisté à nier les faits qui lui étaient reprochés, y compris ceux ayant amené à sa condamnation par jugement du Tribunal de police du ______ 2010. Lors des diverses audiences pendant lesquelles les écoutes téléphoniques ont été instruites, il n'a pas hésité à inventer des explications toutes plus farfelues les unes que les autres pour tenter de justifier les éléments accablants qui ressortaient des diverses conversations. Au vu de ce qui précède, la condamnation à une peine privative de liberté de 40 mois prononcée en première instance apparaît adéquate et sera dès lors confirmée. 5. 5.1.1. À teneur de l'art. 429 al. 1 CPP, s'il bénéficie d'un acquittement total ou partiel, le prévenu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Conformément aux principes généraux, la preuve de l'existence du dommage, son ampleur et sa relation de causalité adéquate avec la poursuite pénale introduite à tort incombent au requérant (ATF 135 IV 43 consid. 4.1 p. 47 ; 117 IV 209 consid. 4b p. 218 ; arrêt du Tribunal fédéral 6B_596/2007 du 11 mars 2008 consid. 2.2).</w:t>
      </w:r>
    </w:p>
    <w:p>
      <w:r>
        <w:t>- 21/27 - P/17721/2014 5.1.2. La détention avant jugement au sens de l'art. 110 al. 4 CP constitue une mesure de contrainte de nature procédurale destinée notamment à garantir le bon déroulement de l'enquête pénale (Y. JEANNERET, Commentaire romand, Code pénal I, art. 1-110 CP, ad art. 51 CP, p. 520, N1). L'art. 51 CP prévoit d'imputer sur la peine les jours de détentions avant jugement subis par l'auteur dans le cadre de l'affaire qui vient d'être jugée ou d'une autre procédure. La privation de liberté à subir doit toujours être compensée avec celle déjà subie, pour autant que cela soit possible (ATF 133 IV 150 consid. 5.1.1 p. 155). L'art. 431 al. 2 CPP énonce d'ailleurs qu'une détention avant jugement dûment autorisée n'est indemnisée que si elle ne peut pas être imputée sur les sanctions prononcées à raison d'autres infractions, et le prévenu doit se le laisser opposer (arrêt du Tribunal fédéral 6B_169/2012 du 25 juin 2012 consid. 6). En d'autres termes, l'imputation, tant qu'elle reste possible, l'emporte sur l'indemnisation (Message relatif à l'unification du droit de la procédure pénale (CPP) du 21 décembre 2005, FF 2006 p. 1314 ; R. ROTH / L. MOREILLON (éds), Code pénal I : art. 1-100 CP, Bâle 2009, n. 9 ad art. 51), et le prévenu n'a pas le choix entre l'une ou l'autre (arrêts du Tribunal fédéral 6B_169/2012 du 25 juin 2012 c. 6; 1B_179/2011 du 17 juin 2011 c. 4.2 et les références citées ; 6B_84/2014 du 13 août 2014 c. 5.1 et ACPR/409/2013 du 29 août 2013). 5.1.3. La jurisprudence a clarifié le mode de réparation de l'atteinte subie par le prévenu, finalement acquitté ou bénéficiant d'un classement (partiel ou total), du fait de la privation de liberté par suite d'une détention avant jugement. Il en ressort que l'art. 51 CP l'emporte sur l'art. 429 al. 1 let. c CPP, de sorte que le juge doit prioritairement imputer les jours de détention avant jugement sur la peine prononcée. L'indemnisation n'intervient que dans la mesure où ces jours de détention ne peuvent plus faire l'objet d'une imputation. L'imputation de la détention avant jugement concerne aussi bien les peines pécuniaires que les peines privatives de liberté, assorties ou non du sursis. Cela vaut également pour le travail d'intérêt général (arrêt 6B_558/2013 13 décembre 2013 c.</w:t>
      </w:r>
    </w:p>
    <w:p>
      <w:r>
        <w:rPr>
          <w:b/>
        </w:rPr>
        <w:t>E. 7</w:t>
      </w:r>
    </w:p>
    <w:p>
      <w:r>
        <w:t>L'appelant, qui succombe, sera condamné aux frais de la procédure d'appel, comprenant un émolument de décision de CHF 2'500.- (art. 428 CPP et 14 al. 1 let. e du Règlement fixant le tarif des frais en matière pénale du 22 décembre 2010 [RTFMP ; RS E 4 10.03]).</w:t>
      </w:r>
    </w:p>
    <w:p>
      <w:r>
        <w:rPr>
          <w:b/>
        </w:rPr>
        <w:t>E. 8</w:t>
      </w:r>
    </w:p>
    <w:p>
      <w:r>
        <w:t>Les motifs ayant conduit les premiers juges à prononcer, par ordonnance séparée du</w:t>
      </w:r>
    </w:p>
    <w:p>
      <w:r>
        <w:rPr>
          <w:b/>
        </w:rPr>
        <w:t>E. 12</w:t>
      </w:r>
    </w:p>
    <w:p>
      <w:r>
        <w:t>juin 2015, le maintien de l'appelant, en détention pour des motifs de sûreté sont toujours d'actualité, de sorte que la mesure sera reconduite mutatis mutandis (ATF 139 IV 277 consid. 2.2 à 2.3). 9. 9.1.1.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w:t>
      </w:r>
    </w:p>
    <w:p>
      <w:r>
        <w:t>- 23/27 - P/17721/2014 (let. c). La TVA est versée en sus. Il n'y a pas lieu à couverture de la TVA lorsque l'avocat désigné a un statut de collaborateur, faute d'assujettissement (arrêts du Tribunal fédéral 6B_486/2013 du 16 juillet 2013 consid. 4 et 6B_638/2012 du 10 décembre 2012 consid. 3.7).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9.1.2.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w:t>
      </w:r>
    </w:p>
    <w:p>
      <w:r>
        <w:t>- 24/27 - P/17721/2014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Elle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t>- 25/27 - P/17721/2014 L'activité qui n'est pas nécessaire à la défense devant les autorités cantonales n'est pas couverte par l'assistance juridique cantonale.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(AARP/331/2015 du 27 juillet 2015 ; AARP/329/2015 du 30 juillet 2015 ; AARP/304/2015 du 16 juillet 2015 ; AARP/301/2015 du 20 juillet 2015 ; AARP/271/2015 du 8 juin 2015 ; AARP/198/2015 du 31 mars 2015 ; AARP/152/2015 du 24 mars 2015). 9.2. En l'espèce, Me B______, a été nommée d'office le 7 octobre 2014. Conformément aux principes rappelés supra, il convient de retrancher de son état de frais la durée de 1h30' afférente à une conférence avec son mandant après réception de l'arrêt, 2h45' pour les postes relatifs à l'annonce et à la déclaration d'appel, qui n'ont pas à être motivés, compris dans le forfait pour activité diverses, et de retenir une durée globale de 4h pour la relecture du dossier et la préparation de l'audience, amplement suffisante pour une défense identique à celle formulée, et même moindre, qu'en première instance dans la mesure où un acquittement partiel a été prononcé. L'établissement du chargé, comportant deux pièces, entre également dans le forfait pour activités diverses (-1h). Pour l'audience devant la CPAR, il sera retenu une durée effective de 1h plus CHF 35.- de forfait vacation. Enfin, dans la mesure où Me B______ est collaboratrice, sa conclusion visant à ajouter la TVA à la taxation sera rejetée. En définitive, l'indemnité sera arrêtée à CHF 1'685.- correspondant à 12h heures d'activité au tarif de CHF 125.-/heure, plus la majoration forfaitaire de 10% vu l'ampleur de l'activité déployée en première instance et le montant de CHF 35.- pour déplacement. * * * * *</w:t>
      </w:r>
    </w:p>
    <w:p>
      <w:r>
        <w:t>- 26/27 - P/17721/2014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