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AARP/47/2025 vom 6. Februar 2025</w:t>
      </w:r>
    </w:p>
    <w:p>
      <w:r>
        <w:t>GE Cour de justice, 2025-02-06, FR</w:t>
      </w:r>
    </w:p>
    <w:p>
      <w:r>
        <w:rPr>
          <w:b/>
        </w:rPr>
        <w:t xml:space="preserve">Quelle: </w:t>
      </w:r>
      <w:r>
        <w:t>https://mcp.opencaselaw.ch/entscheid/ge_gerichte_AARP_47_2025</w:t>
      </w:r>
    </w:p>
    <w:p>
      <w:r>
        <w:t>FR: GE_GERICHTE AARP/47/2025 du 6 février 2025</w:t>
      </w:r>
    </w:p>
    <w:p>
      <w:r>
        <w:t>IT: GE_GERICHTE AARP/47/2025 del 6 febbraio 2025</w:t>
      </w:r>
    </w:p>
    <w:p>
      <w:pPr>
        <w:pStyle w:val="Heading2"/>
      </w:pPr>
      <w:r>
        <w:t>Erwägungen</w:t>
      </w:r>
    </w:p>
    <w:p>
      <w:r>
        <w:rPr>
          <w:b/>
        </w:rPr>
        <w:t>E. 1</w:t>
      </w:r>
    </w:p>
    <w:p>
      <w:r>
        <w:t>La CPAR est l'autorité compétente en matière de révision (art. 21 al. 1 let. b du code de procédure pénale [CPP] cum art. 130 al. 1 let. a de la loi d'organisation judiciaire [LOJ]).</w:t>
      </w:r>
    </w:p>
    <w:p>
      <w:r>
        <w:rPr>
          <w:b/>
        </w:rPr>
        <w:t>E. 2.1</w:t>
      </w:r>
    </w:p>
    <w:p>
      <w:r>
        <w:t>Les règles de la révision sont applicables lorsqu'un motif de récusation est découvert après la clôture de la procédure (art. 60 al. 3 CPP). Ce système répond au principe selon lequel un tribunal est dessaisi de la cause dès le moment où il a rendu son jugement (ATF 147 I 173 consid. 4.1 = JdT 2021 I 98). En principe, seuls les jugements dotés de l'autorité de chose jugée sont susceptibles de révision (art. 410 al. 1er CPP). Par conséquent, en particulier dans les causes civiles et pénales, un motif de récusation doit être soulevé par la voie de recours ordinaire s'il est découvert après la clôture de la procédure, soit après le prononcé du jugement, mais avant l'échéance du délai de recours. Le motif de récusation peut alors être soulevé dans le cadre des recours en matière civile ou pénale (ATF 139 III 120 consid. 2 et 3.1.1 ; 138 III 702 consid. 3.4 = JdT 2016 II 320). Il est ainsi admissible de renvoyer le plaideur à user de cette voie de recours ordinaire, pour autant que le délai à observer ne soit pas encore échu (ATF 147 I 173 consid. 4.1.1 = JdT 2021 I 98 ; 139 III 466 consid. 3.4 = JdT 2015 II 439). Lorsque la partie recourante découvre un motif de récusation alors que le Tribunal fédéral est saisi d'un recours, l’autorité précédente ne peut pas déclarer une demande de révision irrecevable au seul motif que ce recours est pendant car la péremption prévue par l’art. 125 de la loi sur le Tribunal fédéral (LTF) s'y oppose. Lorsqu'une partie découvre au cours de l'instance fédérale une circonstance qui justifierait à son</w:t>
      </w:r>
    </w:p>
    <w:p>
      <w:r>
        <w:t>- 4/7 - P/3871/2013 avis la révision de la décision attaquée, y compris un motif de récusation, cette partie doit introduire une demande de révision devant l'autorité précédente et présenter une demande de suspension au Tribunal fédéral (ATF 147 I 173 consid. 4.1.2 = JdT 2021 I 98 ; 144 IV 35 consid. 2 ; 144 I 208 consid. 4 ; 138 II 386 consid. 6 ss. = JdT 2013 I 164 ; arrêt du Tribunal fédéral 2C_596/2018 du 12 mai 2019 consid. 5).</w:t>
      </w:r>
    </w:p>
    <w:p>
      <w:r>
        <w:rPr>
          <w:b/>
        </w:rPr>
        <w:t>E. 2.2</w:t>
      </w:r>
    </w:p>
    <w:p>
      <w:r>
        <w:t>En l'espèce, la procédure P/3871/2013 a été clôturée par l'arrêt AARP/281/2024 du 20 août 2024. Cet arrêt a été notifié à A______ le 22 août 2024, de sorte que son acte, portant la date du 24 septembre 2024 et reçu au greffe universel le même jour, a été déposé après l'échéance du délai de recours de 30 jours au TF. Il convient par conséquent d'interpréter la "demande de récusation" déposée le 24 septembre 2024 comme une demande de révision de la décision AARP/281/2024 (art. 60 al. 3 et 410 ss CPP).</w:t>
      </w:r>
    </w:p>
    <w:p>
      <w:r>
        <w:rPr>
          <w:b/>
        </w:rPr>
        <w:t>E. 3</w:t>
      </w:r>
    </w:p>
    <w:p>
      <w:r>
        <w:t>3.1.1. 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du condamné.</w:t>
      </w:r>
    </w:p>
    <w:p>
      <w:r>
        <w:t>Les faits et moyens de preuve nouveaux, au sens de l'art. 410 al. 1 let. a CPP, ne sont pas censés se rapporter à d'éventuels vices de procédure. Toutefois, l'existence d'un motif de récusation, de par son caractère formel, doit être assimilé à une cause absolue de révision devant conduire en tous les cas à l'annulation du jugement querellé. Enfin, conformément au principe de la bonne foi en procédure, il incombe aux parties de requérir une telle révision sans délai (ATF 144 IV 35 consid. 2.2 ; arrêt du Tribunal fédéral 6B_733/2018 du 24 octobre 2018 consid. 2.1). 3.1.2. Les demandes de révision doivent être motivées et adressées par écrit à la juridiction d'appel. Les motifs de révision doivent être exposés et justifiés dans la demande (art. 411 al. 1 CPP). 3.1.3. La demande en révision en raison de faits ou de moyens de preuve nouveaux n'est soumise à aucun délai (art. 411 al. 2 in fine CPP). 3.1.4. A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w:t>
      </w:r>
    </w:p>
    <w:p>
      <w:r>
        <w:t>- 5/7 - P/3871/2013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 3.2.1. Conformément à l'art. 58 al. 1 CPP, la demande de récusation doit être présentée sans délai dès que la partie a connaissance du motif de récusation, c'est-à- 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 3.2.2. L'autorité qui constate qu'une demande de récusation est tardive n'entre pas en matière et la déclare irrecevable (arrêt du Tribunal fédéral 1B_367/2021 du 29 novembre 2021 consid. 2.2 ; M. NIGGLI/ M. HEER/ H. WIPRÄCHTIGER (éds), Strafprozessordnung / Jugendstrafprozessordnung, Basler Kommentar StPO/JStPO, 3ème éd., Bâle 2023, n. 5 ad art. 58 ; A. DONATSCH/ T. HANSJAKOB/ V. LIEBER (éds), Kommentar zur Schweizerischen Strafprozessordnung (StPO), 2ème éd., Zurich 2014, n. 4 ad art. 58).</w:t>
      </w:r>
    </w:p>
    <w:p>
      <w:r>
        <w:rPr>
          <w:b/>
        </w:rPr>
        <w:t>E. 3.3</w:t>
      </w:r>
    </w:p>
    <w:p>
      <w:r>
        <w:t>En l'espèce, le prétendu vice affectant la composition de l'autorité cantonale qui a rendu l'arrêt d'irrecevabilité du 20 août 2024 a été découvert au plus tard le jour de la notification dudit arrêt, soit le 22 août 2024. Par conséquent, sa "demande de récusation" du 24 septembre 2024, déposée plus de 30 jours après dite notification, est manifestement tardive. Sous peine d'être forclos, le demandeur était tenu d'invoquer "sans délai" ce grief devant le TF dans le cadre de la procédure de recours fédérale alors pendante, ce qu'il n'a de toute évidence pas fait (voir supra let. A.b). Au vu de ce qui précède, la "demande de récusation" déposée par le demandeur – considérée comme une demande de révision – étant manifestement irrecevable, la Cour n'entre pas en matière sur celle-ci</w:t>
      </w:r>
    </w:p>
    <w:p>
      <w:r>
        <w:rPr>
          <w:b/>
        </w:rPr>
        <w:t>E. 4</w:t>
      </w:r>
    </w:p>
    <w:p>
      <w:r>
        <w:t>Le demandeur, qui succombe, supportera les frais de la procédure envers l'État, y compris un émolument de CHF 600.- (art. 428 CPP). * * * * *</w:t>
      </w:r>
    </w:p>
    <w:p>
      <w:r>
        <w:t>- 6/7 - P/3871/2013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