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AARP/477/2015 vom 23. November 2015</w:t>
      </w:r>
    </w:p>
    <w:p>
      <w:r>
        <w:t>GE Cour de justice, 2015-11-23, FR</w:t>
      </w:r>
    </w:p>
    <w:p>
      <w:r>
        <w:rPr>
          <w:b/>
        </w:rPr>
        <w:t xml:space="preserve">Quelle: </w:t>
      </w:r>
      <w:r>
        <w:t>https://mcp.opencaselaw.ch/entscheid/ge_gerichte_AARP_477_2015</w:t>
      </w:r>
    </w:p>
    <w:p>
      <w:r>
        <w:t>FR: GE_GERICHTE AARP/477/2015 du 23 novembre 2015</w:t>
      </w:r>
    </w:p>
    <w:p>
      <w:r>
        <w:t>IT: GE_GERICHTE AARP/477/2015 del 23 novembre 2015</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 verdict de culpabilité du chef d'infraction à l'art. 90 al. 2 LCR, non contesté, ne sera pas examiné par la Chambre pénale d'appel et de révision, le jugement de première instance consacrant une correcte application du droit sur ce point.</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En tant que règle sur le fardeau de la preuve, ce principe signifie qu'il incombe à l'accusation d'établir la culpabilité de l'accusé, et non à ce dernier de démontrer son</w:t>
      </w:r>
    </w:p>
    <w:p>
      <w:r>
        <w:t>- 6/11 - P/1308/2014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prévenu démontre qu'à l'issue d'une appréciation exempte d'arbitraire de l'ensemble des preuves, le juge aurait dû éprouver des doutes sérieux et irréductibles sur sa culpabilité (ATF 120 Ia 31 consid. 2 p. 33 ss, 124 IV 86 consid. 2a p. 87 s, 127 I 38 consid. 2a p. 41). 2.1.2. Ces principes s'appliquent notamment en matière d'infractions à la circulation routière. La présomption selon laquelle un véhicule automobile est conduit par son détenteur ne constitue, au contraire de la présomption d'innocence, qu'une présomption de fait ou présomption de l'homme. Elle ne renverse ni n'allège le fardeau de la preuve, qui repose entièrement sur l'accusation (arrêt du Tribunal fédéral 6B_748/2009 du 2 novembre 2009 consid. 2.2). Lorsqu'une infraction à la circulation routière a été dûment constatée, sans cependant que son auteur puisse être identifié, l'autorité ne saurait se borner à présumer que le véhicule était piloté par son détenteur, en faisant porter le fardeau de la preuve à ce dernier (ATF 106 IV 142 consid. 3 p. 142 ; ATF 105 Ib 114 consid. 1 p. 116 en matière de retrait du permis de conduire ;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 du Tribunal fédéral 6B_562/2010 du 28 octobre 2010 consid. 2.1.2 et les références citées). Lorsque l'accusé fait des déclarations contradictoires, il ne peut invoquer la présomption d'innocence pour contester les conclusions défavorables que le juge a, le</w:t>
      </w:r>
    </w:p>
    <w:p>
      <w:r>
        <w:t>- 7/11 - P/1308/2014 cas échéant, tirées de ses déclarations compte tenu de l'ensemble des éléments au dossier (arrêts du Tribunal fédéral 6B_316/2014 du 23 juillet 2014 consid. 2.3 ; 1P.428/2003 du 8 avril 2004 consid. 4.6 ; également par analogie ATF 105 Ib 114 consid. 1a en matière de retrait du permis de conduire). 2.1.3. Selon la doctrine, en cas de commission d'une infraction routière et de doute sur l'identité de l'auteur, sont particulièrement pertinents les éléments suivants : le lieu de commission de l'infraction est proche du lieu de résidence ou de travail ; le détenteur est vu à proximité du lieu de commission de l'infraction ; le détenteur utilise son véhicule à titre professionnel ; le détenteur n'a pas d'alibi pour le moment où l'infraction a été commise et il n'arrive pas à montrer que d'autres personnes disposaient des clefs du véhicule (DÄHLER / SCHAFFHAUSER, Strassen- verkehrsdelikte, in GEISER / MÜNCH [dir. publ.], Strafverteidigung, 2002, 457- 636, par. 11.70).</w:t>
      </w:r>
    </w:p>
    <w:p>
      <w:r>
        <w:rPr>
          <w:b/>
        </w:rPr>
        <w:t>E. 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(art. 90 al. 4 let. b LCR). L'art. 90 al. 4 LCR pose une présomption légale irréfragable selon laquelle les dépassements de vitesse visés aux lettres a à d constituent toujours une violation grave qualifiée au sens de l'art. 90 al. 3 LCR. Si un conducteur commet un excès de vitesse qui tombe sous le coup de l'art. 90 al. 4 LCR, la loi impose de considérer qu'il a agi de manière intentionnelle, avec le risque de provoquer un grave accident pouvant entraîner de graves blessures ou la mort. Cette disposition ne laisse aucune marge d'appréciation permettant de tenir compte du risque concret et de lui substituer l'art. 90 al. 2 LCR (arrêt du Tribunal fédéral 1C_397/2014 du 20 novembre 2014 consid. 2.4.1). Le risque d'accident potentiellement élevé ne découle pas seulement de la vitesse du chauffard mais de la différence entre celle-ci et la vitesse de l'usager qui circule correctement et n'a pas à escompter la présence de véhicules roulant à telle allure (arrêt du Tribunal fédéral 1C_397/2014 précité).</w:t>
      </w:r>
    </w:p>
    <w:p>
      <w:r>
        <w:rPr>
          <w:b/>
        </w:rPr>
        <w:t>E. 2.3</w:t>
      </w:r>
    </w:p>
    <w:p>
      <w:r>
        <w:t>En l'espèce, l'appelant est non seulement le détenteur du véhicule qui a été flashé par un radar les 11 et 18 octobre 2013 mais il a aussi admis qu'il était au volant de sa voiture lors du premier excès de vitesse. Or, pris en photo de face le 11 octobre 2013, l'appelant ressemble au conducteur photographié la semaine suivante par le radar mobile. Ces deux excès de vitesse ont en outre été enregistrés un vendredi en milieu</w:t>
      </w:r>
    </w:p>
    <w:p>
      <w:r>
        <w:t>- 8/11 - P/1308/2014 d'après-midi, à moins de vingt minutes d'intervalle, dans le même secteur du canton de Genève et à proximité de la frontière avec ______, où l'appelant réside.</w:t>
      </w:r>
    </w:p>
    <w:p>
      <w:r>
        <w:t>Lors de son audition par la police, environ deux mois après les faits, l'appelant, qui était assisté de son avocat, n'a du reste pas exclu qu'il pouvait aussi être l'auteur de la seconde et plus grave des deux infractions, ses doutes quant à son implication découlant essentiellement du fait qu'il n'avait pas vu de radar ce jour-là. A cette occasion, il a d'ailleurs affirmé qu'il ne prêtait sa voiture qu'à ses deux neveux et à un ami, et à personne d'autre. Dans ce contexte, la nouvelle version fournie à l'audience de jugement est de pure circonstance, l'appelant tentant de tirer avantage de sa ressemblance avec son frère pour expliquer les similitudes des visages pris en photo lors des deux excès de vitesse, alors qu'il avait expressément exclu avoir prêté sa voiture à d'autres membres de sa famille que ses deux neveux, lors de son audition par la police. De même, il n'est pas vraisemblable que l'appelant se soit souvenu plus d'une année après les faits qu'il ne pouvait pas être au volant de son véhicule privé ce vendredi après-midi vers 15h30, puisqu'il travaillait à cette heure-là, alors qu'il ne l'avait pas soutenu devant la police, lorsque sa mémoire sur son emploi du temps deux mois plus tôt était bien plus fraîche. D'ailleurs, le fait que l'excès de vitesse de la semaine précédente ait été commis par lui à peine vingt minutes plus tard affaiblit encore davantage ces dernières explications. Enfin, l'appelant, qui soutient ne pas être le conducteur de la voiture, ne tire aucune conclusion des photographies des lieux de l'infraction qu'il a produites en annexe à sa déclaration d'appel.</w:t>
      </w:r>
    </w:p>
    <w:p>
      <w:r>
        <w:t>Au vu de ce qui précède, c'est à bon droit que le premier juge a retenu que l'appelant était aussi le conducteur de sa voiture lors de l'excès de vitesse commis le 18 octobre 2013.</w:t>
      </w:r>
    </w:p>
    <w:p>
      <w:r>
        <w:t>L'appelant ne conteste à juste titre pas avoir dépassé à cette occasion les limites fixées à l'art. 90 al. 4 let. b LCR. Le verdict de culpabilité prononcé en première instance concernant la violation des règles fondamentales de la circulation routière au sens des art. 90 al. 3 et 4 let. b LCR sera ainsi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- 9/11 - P/1308/2014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l'occurrence, la faute de l'appelant est lourde, ce dernier ayant adopté un comportement mettant gravement en danger les autres usagers de la route, ceci par deux fois en l'espace d'une semaine. Aucun élément au dossier ne saurait expliquer son comportement et sa collaboration dans la procédure a été moyenne, se limitant à admettre celle des deux infractions qui concernait l'excès de vitesse le moins important. L'appelant témoigne toutefois d'une certaine prise de conscience, dès lors qu'il affirme avoir mis en vente son véhicule après les faits. Enfin, ce dernier a fait l'objet d'une condamnation en 2012 pour conduite en état d'incapacité, dont le Tribunal de police n'a pas tenu compte, considérant qu'il s'agissait d'un antécédent non spécifique. Aucune des circonstances atténuantes prévues par l'art. 48 CP n'est réalisée, ni d'ailleurs plaidée. Le dépassement de vitesse commis par l'appelant impose le prononcé d'une peine privative de liberté d'au moins un an en vertu de l'art. 90 al. 3 LCR. La peine de treize mois fixée par le premier juge est adéquate et tient compte de manière appropriée du concours d'infractions avec l'infraction à l'art. 90 al. 2 LCR. Le sursis est acquis à l'appelant et le délai d'épreuve, arrêté à quatre ans, est à même de le dissuader de commettre de nouvelles infractions, ce qu'il ne conteste pas. Le jugement entrepris sera dès lors intégralement confirmé.</w:t>
      </w:r>
    </w:p>
    <w:p>
      <w:r>
        <w:rPr>
          <w:b/>
        </w:rPr>
        <w:t>E. 4</w:t>
      </w:r>
    </w:p>
    <w:p>
      <w:r>
        <w:t>Vu l'issue de la procédure, l'appelant sera débouté de ses conclusions en indemnisation (art. 429 CPP).</w:t>
      </w:r>
    </w:p>
    <w:p>
      <w:r>
        <w:rPr>
          <w:b/>
        </w:rPr>
        <w:t>E. 5</w:t>
      </w:r>
    </w:p>
    <w:p>
      <w:r>
        <w:t>L'appelant, qui succombe, sera condamné aux frais de la procédure d'appel, qui comprennent un émolument de jugement de CHF 1'500.- (art. 428 al. 1 CPP et 14 al. 1 let. e du Règlement fixant le tarif des frais en matière pénale ; E 4 10.03). * * * * *</w:t>
      </w:r>
    </w:p>
    <w:p>
      <w:r>
        <w:t>- 10/11 - P/1308/2014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