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AARP/474/2014 vom 31. Oktober 2014</w:t>
      </w:r>
    </w:p>
    <w:p>
      <w:r>
        <w:t>GE Cour de justice, 2014-10-31, FR</w:t>
      </w:r>
    </w:p>
    <w:p>
      <w:r>
        <w:rPr>
          <w:b/>
        </w:rPr>
        <w:t xml:space="preserve">Quelle: </w:t>
      </w:r>
      <w:r>
        <w:t>https://mcp.opencaselaw.ch/entscheid/ge_gerichte_AARP_474_2014</w:t>
      </w:r>
    </w:p>
    <w:p>
      <w:r>
        <w:t>FR: GE_GERICHTE AARP/474/2014 du 31 octobre 2014</w:t>
      </w:r>
    </w:p>
    <w:p>
      <w:r>
        <w:t>IT: GE_GERICHTE AARP/474/2014 del 31 ottobre 2014</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- 6/16 - P/16010/2012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L'appelant invoque l'irrecevabilité de la pièce produite le 6 novembre 2012 par l'intimé.</w:t>
      </w:r>
    </w:p>
    <w:p>
      <w:r>
        <w:rPr>
          <w:b/>
        </w:rPr>
        <w:t>E. 1.2.1</w:t>
      </w:r>
    </w:p>
    <w:p>
      <w:r>
        <w:t>L'art. 389 al.1 CPP prévoit que la procédure de recours se fonde sur les preuves administrées pendant la procédure préliminaire et la procédure de première instance. Toutefois, l'autorité de recours administre, d'office ou à la demande d'une partie, les preuves complémentaires nécessaires au traitement du recours. En effet, la juridiction d'appel ne se borne pas à corriger le jugement attaqué mais rend un nouveau jugement en se fondant sur ses propres constatations et sur les preuves qu'elle a administrées. Ainsi, elle peut notamment tenir compte des faits nouveaux improprement dits, soit ceux qui existaient déjà avant le jugement de première instance, lesquels doivent être pris en considération dans la mesure où ils sont pertinents et permettent de préciser un point du jugement de première instance (A. KUHN / Y. JEANNERET (éds), Commentaire romand : Code de procédure pénale suisse, Bâle 2011, n. 20 ad art. 398 CPP).</w:t>
      </w:r>
    </w:p>
    <w:p>
      <w:r>
        <w:rPr>
          <w:b/>
        </w:rPr>
        <w:t>E. 1.2.2</w:t>
      </w:r>
    </w:p>
    <w:p>
      <w:r>
        <w:t>En l'espèce, la procuration du 4 septembre 2012 constitue un fait nouveau improprement dit car elle est datée d'avant le jugement du Tribunal de police bien que produite ultérieurement. Elle doit toutefois être prise en compte dans la présente procédure d'appel au vu de son caractère pertinent. En effet, ce document permet de répondre à un grief soumis à l'appréciation de la juridiction d'appel (cf. infra ch. 1.3). La procuration du 4 septembre 2012 est donc recevable et ne sera pas écartée de la procédure.</w:t>
      </w:r>
    </w:p>
    <w:p>
      <w:r>
        <w:rPr>
          <w:b/>
        </w:rPr>
        <w:t>E. 1.3</w:t>
      </w:r>
    </w:p>
    <w:p>
      <w:r>
        <w:t>L'appelant invoque le défaut de qualité pour porter plainte de C______ pour dommages à la propriété au nom et pour le compte de son employeur.</w:t>
      </w:r>
    </w:p>
    <w:p>
      <w:r>
        <w:rPr>
          <w:b/>
        </w:rPr>
        <w:t>E. 1.3.1</w:t>
      </w:r>
    </w:p>
    <w:p>
      <w:r>
        <w:t>A teneur de l'art. 144 al. 1 CP, celui qui aura endommagé, détruit ou mis hors d'usage une chose appartenant à autrui ou frappé d'un droit d'usage ou d'usufruit au bénéfice d'autrui sera, sur plainte, puni d'une peine privative de liberté de trois ans au plus ou d'une peine pécuniaire.</w:t>
      </w:r>
    </w:p>
    <w:p>
      <w:r>
        <w:rPr>
          <w:b/>
        </w:rPr>
        <w:t>E. 1.3.2</w:t>
      </w:r>
    </w:p>
    <w:p>
      <w:r>
        <w:t>L'art. 30 al. 1 CP, s'appliquant qu'aux infractions punies sur plainte, prévoit que toute personne lésée peut porter plainte contre l'auteur. Si le lésé est une personne morale régie par le droit public, telle qu'un canton, une commune ou un</w:t>
      </w:r>
    </w:p>
    <w:p>
      <w:r>
        <w:t>- 7/16 - P/16010/2012 établissement public, la compétence pour exercer le droit de porter plainte se détermine selon les bases légales correspondantes du droit public (M. DUPUIS / B. GELLER / G. MONNIER / L. MOREILLON / C. PIGUET / C. BETTEX / D. STOLL (éds), Code pénal: Petit commentaire, Helbing Lichtenhahn, Bâle 2012, n. 12 ad art. 30 CP). L'art. 2 al. 1 de la loi sur l'Hospice général (LHG ; J 4 07) prévoit que l'Hospice général est un établissement de droit public doté de la personnalité juridique. Selon l'art. 16 al. 1 LHG, le conseil d’administration est le pouvoir supérieur de l’Hospice général. Sous réserve des compétences du Grand Conseil et du Conseil d’Etat, le conseil d’administration est investi des pouvoirs les plus étendus pour la gestion de l’Hospice général (al. 2). Enfin, aux termes de l'art. 21 al. 3 LHG, la direction est l’organe dirigeant et exécutif suprême au niveau opérationnel. Elle engage et représente l'Hospice général vis-à-vis des tiers, dans les limites fixées par le conseil d'administration.</w:t>
      </w:r>
    </w:p>
    <w:p>
      <w:r>
        <w:rPr>
          <w:b/>
        </w:rPr>
        <w:t>E. 1.3.3</w:t>
      </w:r>
    </w:p>
    <w:p>
      <w:r>
        <w:t>Le droit de déposer plainte est de nature strictement personnelle et intransmissible. Toutefois, le lésé est habilité à déléguer ce droit à un représentant civil ou commercial. C'est la procédure cantonale qui détermine les conditions de forme auxquelles la plainte doit satisfaire lorsque le droit strictement personnel du lésé de la déposer est exercé par un représentant. Une procuration générale suffit dans les cas où la violation de biens matériels est en jeu (ATF 118 IV 167 consid. 1b ; M. DUPUIS / B. GELLER / G. MONNIER / L. MOREILLON / C. PIGUET / C. BETTEX / D. STOLL (éds), op. cit., n. 13 ad art. 30).</w:t>
      </w:r>
    </w:p>
    <w:p>
      <w:r>
        <w:rPr>
          <w:b/>
        </w:rPr>
        <w:t>E. 1.3.4</w:t>
      </w:r>
    </w:p>
    <w:p>
      <w:r>
        <w:t>En l'espèce, C______ est employé de l'Hospice général. Depuis le 4 septembre 2012, il est au bénéfice d'une procuration générale lui conférant la qualité pour déposer plainte au nom et pour le compte de son employeur en cas d'infractions aux art. 144 CP et 186 CP. Il était ainsi habilité à déposer la plainte pour dommages à la propriété contre l'appelant accusé d'avoir endommagé des biens matériels au sein du foyer. Le fait que C______ ne figure pas au registre du commerce ne modifie pas la portée qu'il faut attribuer à la procuration. La plainte pénale pour dommages à la propriété du 15 novembre 2012 a donc été déposée dans le délai légal par une personne qui en avait la qualité. Elle est à ce titre recevable.</w:t>
      </w:r>
    </w:p>
    <w:p>
      <w:r>
        <w:rPr>
          <w:b/>
        </w:rPr>
        <w:t>E. 2</w:t>
      </w:r>
    </w:p>
    <w:p>
      <w:r>
        <w:t>L'appelant oppose trois motifs justificatifs à l'illicéité de son séjour en Suisse du 23 janvier 2012 au 14 novembre 2012, à savoir ses obligations légales envers sa fille, la sauvegarde d'intérêts légitimes et l'art. 8 CEDH. 2.1.1 A teneur de l'art. 115 al. 1 let. b LEtr, est puni d'une peine privative de liberté d'un an au plus ou d'une peine pécuniaire quiconque séjourne illégalement en Suisse,</w:t>
      </w:r>
    </w:p>
    <w:p>
      <w:r>
        <w:t>- 8/16 - P/16010/2012 notamment après l'expiration de la durée du séjour non soumis à autorisation ou du séjour non autorisé.</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ne s'opposent pas au principe de la poursuite pénale d'un étranger, dans un Etat membre, du chef de séjour illégal ; elles réglementent uniquement le type de sanctions – peine pécuniaire ou privative de liberté – susceptible d'être infligée (arrêt de la CJUE du 6 décembre 2012 SAGOR ; arrêt du Tribunal fédéral 6B_196/2012 du 24 janvier 2013, consid. 2.1.2 in fine). La Directive sur le retour n'est pas applicable aux ressortissants des pays tiers qui ont commis, outre le séjour irrégulier, un ou plusieurs autres délits (art. 2 al. 2 let. b de la Directive sur le retour) en dehors du droit pénal sur les étrangers (A. ZÜND, Migrationsrecht Kommentar, 3e éd., Zurich 2012, n. 12 ad art. 115 LEtr ; T. HUGI YAR, Das Urteil El Dridi, die EU-Rückkührungsrichtlinie und der Schengen- Besitzstand, Jusletter du 11 juillet 2011, note 11 ; arrêt du Tribunal fédéral 6B_320/2013 du 29 août 2013 consid. 3.2). 2.1.2 Dans un arrêt 6B_173/2013 du 19 août 2013, le Tribunal fédéral a indiqué que l'étranger entré légalement en Suisse pour un séjour temporaire qui dépose ultérieurement une demande d'autorisation de séjour durable doit attendre la décision à l'étranger (art. 17 al. 1 LEtr). Cela vaut aussi pour l'étranger résidant illégalement en Suisse qui tente de légaliser son séjour par le dépôt ultérieur d'une demande d'autorisation de séjour durable (ATF 139 I 37 consid. 2.1 p. 40). Selon le message du Conseil fédéral, le requérant ne peut pas se prévaloir, déjà durant la procédure, du droit de séjour qu'il sollicite ultérieurement, à moins qu'il remplisse "très vraisemblablement" les conditions d'admission (FF 2002 3469 ss, p. 3535). Le seul dépôt d'une demande d'autorisation de séjour durable ne rend pas le séjour légal, puisque l'étranger doit en principe attendre la décision à l'étranger (A. ZÜND, op. cit., n° 7 ad art. 115 LEtr).</w:t>
      </w:r>
    </w:p>
    <w:p>
      <w:r>
        <w:t>- 9/16 - P/16010/2012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Elle doit rendre sa décision lors d'un examen sommaire des chances de succès, comme c'est le cas lors du prononcé de mesures provisoires (ATF 139 I 37 consid. 2.2). Ni l'entrée illicite ni le séjour illicite n'empêchent l'application de l'art. 17 al. 2 LEtr (ATF 137 I 351 consid. 3.6 p. 359 et consid. 3.8 ; M. SPESCHA, Migrationsrecht Kommentar, op. cit., n° 2 ad art. 17 LEtr). 2.1.3 L'art. 8 CEDH garantit à toute personne le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L'exercice du droit au respect de sa vie privée et familiale garanti par cette dernière disposition n'est donc pas automatique et doit être apprécié sur la base d'une pesée de tous les intérêts publics et privés en présence (ATF 120 Ib 22, consid. 4a p. 24). Selon le Tribunal fédéral, dans le cadre d'une demande d'autorisation de séjour, un élément à prendre en compte dans les motifs d'intérêt public incitant à refuser cette dernière est le fait que le parent étranger cherchant à l'obtenir ait adopté un comportement illégal (ATF 136 I 285, consid. 5.2 p. 287).</w:t>
      </w:r>
    </w:p>
    <w:p>
      <w:r>
        <w:rPr>
          <w:b/>
        </w:rPr>
        <w:t>E. 2.2</w:t>
      </w:r>
    </w:p>
    <w:p>
      <w:r>
        <w:t>En l'espèce, malgré le rejet définitif d'une première demande d'asile le 19 décembre 2008, l'appelant a persisté à demeurer sur le territoire suisse. Démuni de toute autorisation de séjour après sa libération conditionnelle le 22 janvier 2012, il a pourtant séjourné irrégulièrement sur le territoire suisse dès sa sortie de prison et jusqu'au 14 novembre 2012, jour de son arrestation au Foyer B______. L'appelant n'a entrepris aucune démarche tendant à son retour au pays, ce qu'il d'ailleurs formellement admis. Il n'a argué d'aucun empêchement qui l'en aurait empêché, sous réserve de ses obligations familiales à la suite de la naissance de sa fille. Il a au contraire manifesté sa ferme intention de rester en Suisse, quelles que soient les circonstances. L'appelant invoque l'art. 8 CEDH mais il ne peut en tout état se prévaloir de cette disposition pour la période antérieure au dépôt de sa demande d'autorisation de séjour, soit du 22 janvier 2012 au 11 octobre 2012. Les mêmes motifs peuvent être repris mutatis mutandis pour le droit de l'appelant à séjourner provisoirement sur le territoire suisse qui ne concernerait, en toute hypothèse, que la courte période du 11</w:t>
      </w:r>
    </w:p>
    <w:p>
      <w:r>
        <w:t>- 10/16 - P/16010/2012 octobre 2012 à la date de son arrestation. Dans la situation qui prévalait durant ce laps de temps, rien ne permet de préjuger d'une décision positive, encore que le dossier soit muet sur cette question. On doit en conclure que l'appelant ne disposait pas d'un droit à attendre la décision à venir des autorités suisses dans le pays. Ainsi, aucun des trois motifs justificatifs ne peut être invoqué par l'appelant. L'infraction de séjour illégal est par conséquent réalisée. 2.3.1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2.3.2 En claquant fortement la fenêtre du couloir d'accès menant aux chambres du foyer qui l'hébergeait, la faisant ainsi tomber, cassant le cadre, sans toutefois que la vitre ne se brise, l'appelant a mis hors d'usage un bien mobilier propriété de l'intimé, appelé à devoir procéder à une réparation ou un remplacement de l'objet. En outre, bien qu'il n'ait pas nécessairement eu la volonté qu'un tel résultat se produise, ayant agi dans un état de surexcitation, l'appelant ne pouvait toutefois pas l'exclure. Il s'en est à tout le moins accommodé vu la force avec laquelle il a agi. Le dol éventuel est ainsi acquis. L'appelant sera donc reconnu coupable du chef de dommages à la propriété. S'il a agi dans un accès de colère regrettable, il faut convenir que le contexte est particulier, puisqu'il s'est lui-même blessé. L'appelant s'est au surplus engagé à indemniser l'Hospice général sans que, à teneur du dossier, il n'ait été donné suite à cette proposition, ce qui paraît à tout le moins surprenant. Au vu des circonstances, les dommages reprochés à l'appelant ne sauraient constituer une infraction témoignant d'une intensité délictuelle particulièrement forte et, à ce titre, ils ne réalisent pas les caractéristiques d'un délit empêchant l'application de la Directive sur le retour. Il reste que celle-ci ne saurait toutefois être applicable pour un autre motif lié à la forme de la peine (cf. infra ch. 5).</w:t>
      </w:r>
    </w:p>
    <w:p>
      <w:r>
        <w:rPr>
          <w:b/>
        </w:rPr>
        <w:t>E. 3</w:t>
      </w:r>
    </w:p>
    <w:p>
      <w:r>
        <w:t>L'appelant conteste le prononcé par le Tribunal de police d'une courte peine privative de liberté ferme de 45 jours.</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w:t>
      </w:r>
    </w:p>
    <w:p>
      <w:r>
        <w:t>- 11/16 - P/16010/2012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3.2.2 En l'espèce, l'appelant a récidivé à réitérées reprises, pour des infractions similaires, en dépit du fait que certaines condamnations avaient déjà été assorties d'un sursis. A plusieurs reprises, l'appelant a bénéficié de la clémence des autorités de jugement qui n'ont pas révoqué les sursis antérieurs malgré les récidives. La naissance de sa fille en 2010 ne l'a pas non plus dissuadé de commettre de nouvelles infractions, puisqu'il a été condamné à quatre reprises entre 2010 et 2012 pour des</w:t>
      </w:r>
    </w:p>
    <w:p>
      <w:r>
        <w:t>- 12/16 - P/16010/2012 infractions contre le patrimoine et l'intégrité corporelle. Ces éléments dénotent une réelle absence de prise de conscience du caractère illicite de ses actes, même en-dehors du cadre du respect de la LEtr. A l'évidence, le défaut d'un titre de séjour n'est pas de nature à l'inciter à adopter un comportement plus respectueux des lois de sorte que le pronostic pour l'octroi du sursis est clairement défavorable. Le refus du sursis sera donc confirmé. Pour les mêmes motifs, il n'y a pas lieu de revenir sur la prolongation du délai d'épreuve décidée par le premier juge. Il est même assez surprenant qu'avec la clémence dont il a bénéficié l'appelant vienne à se plaindre d'une telle mesure qui intervient en substitution d'une révocation qui aurait été juridiquement soutenable. En tout état, les nombreuses récidives dont l'appelant a été l'auteur fondent la décision du premier juge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w:t>
      </w:r>
    </w:p>
    <w:p>
      <w:r>
        <w:rPr>
          <w:b/>
        </w:rPr>
        <w:t>E. 4.2</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w:t>
      </w:r>
    </w:p>
    <w:p>
      <w:r>
        <w:t>- 13/16 - P/16010/2012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Le prononcé d'un travail d'intérêt général n'est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LEtr, on ne saurait d'emblée dire qu'un travail d'intérêt général est exclu (arrêts du Tribunal fédéral 6B_128/2011 consid. 3.5.3 du 14 juin 2011 et 6B_525/2014 du 9 octobre 2014, consid. 2).</w:t>
      </w:r>
    </w:p>
    <w:p>
      <w:r>
        <w:rPr>
          <w:b/>
        </w:rPr>
        <w:t>E. 4.3</w:t>
      </w:r>
    </w:p>
    <w:p>
      <w:r>
        <w:t>En l'espèce, la demande d'asile déposée par l'appelant peu après son arrivée en Suisse a été rejetée en 2008, sans que des démarches en vue d'un renvoi effectif n'aient été entreprises à teneur du dossier, ce nonobstant une décision de renvoi prise en 2009. La situation administrative de l'appelant est ainsi paradoxale, puisque le rejet de sa demande d'asile n'a pas été suivi d'effets et qu'il a pu vivre quasi normalement en Suisse depuis. Bien plus, même si aucune suite ne semble avoir été donnée à sa nouvelle demande d'autorisation de séjour, il n'est pas allégué qu'un refus lui ait été opposé. L'appelant réside de facto en Suisse depuis plusieurs années et son statut de père d'une fillette de quatre ans peut lui permettre d'envisager l'octroi d'une admission provisoire ou tout au moins se trouve-t-il dans une situation où sa présence régulière en Suisse ne relève pas d'un rêve totalement inaccessible. L'ouverture que laisse le Tribunal fédéral dans des cas similaires doit trouver application en l'espèce, ce d'autant que l'appelant peut s'appuyer sur une bonne intégration si l'on en croit l'attestation fournie par sa commune de résidence. Sa volonté d'améliorer sa condition doit être prise en compte. La solution du travail d'intérêt général est en l'occurrence préférable au prononcé d'une peine pécuniaire au regard des revenus forcément limités de l'appelant, la précarité actuelle de son statut l'empêchant de réaliser des gains réguliers. En plus, la peine pécuniaire s'accommoderait mal d'éventuelles obligations alimentaires mises à la charge de l'appelant avec lesquelles elle entrerait en concurrence.</w:t>
      </w:r>
    </w:p>
    <w:p>
      <w:r>
        <w:t>- 14/16 - P/16010/2012 Au vu de ce qui précède, l'exception que constitue le prononcé d'une courte peine privative de liberté ne se justifie pas, de sorte que le jugement du Tribunal de police sera réformé. La culpabilité de l'appelant étant confirmée, il n'y a pas lieu de réduire la quotité de la peine qui est adéquate au regard de sa faute et de ses nombreux antécédents. En application de l'art. 39 al. 2 CP, l'appelant sera ainsi condamné à 180 heures de travail d'intérêt général, sous déduction de huit heures correspondant à deux jours de détention avant jugement.</w:t>
      </w:r>
    </w:p>
    <w:p>
      <w:r>
        <w:rPr>
          <w:b/>
        </w:rPr>
        <w:t>E. 5</w:t>
      </w:r>
    </w:p>
    <w:p>
      <w:r>
        <w:t>L'appelant, dont seules les conclusions en acquittement sont rejetées, supportera la moitié des frais de la procédure envers l'État (art. 428 CPP), qui comprennent une indemnité de procédure de CHF 1'500.- (art. 14 al. 1 let. e du règlement fixant le tarif des frais en matière pénale [RTFMP ; E 4 10.03]). * * * * *</w:t>
      </w:r>
    </w:p>
    <w:p>
      <w:r>
        <w:t>- 15/16 - P/16010/2012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