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AARP/471/2016 vom 21. November 2016</w:t>
      </w:r>
    </w:p>
    <w:p>
      <w:r>
        <w:t>GE Cour de justice, 2016-11-21, FR</w:t>
      </w:r>
    </w:p>
    <w:p>
      <w:r>
        <w:rPr>
          <w:b/>
        </w:rPr>
        <w:t xml:space="preserve">Quelle: </w:t>
      </w:r>
      <w:r>
        <w:t>https://mcp.opencaselaw.ch/entscheid/ge_gerichte_AARP_471_2016</w:t>
      </w:r>
    </w:p>
    <w:p>
      <w:r>
        <w:t>FR: GE_GERICHTE AARP/471/2016 du 21 novembre 2016</w:t>
      </w:r>
    </w:p>
    <w:p>
      <w:r>
        <w:t>IT: GE_GERICHTE AARP/471/2016 del 21 novembre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- 8/16 - P/13050/2013</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 ; 120 Ia 31 consid. 2 p. 33 ss,).</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2.1.3. Les déclarations de la victime, entendue comme témoin, constituent un élément de preuve. Le juge doit, dans l'évaluation globale de l'ensemble des éléments probatoires rassemblés au dossier, les apprécier librement (arrêts du Tribunal fédéral</w:t>
      </w:r>
    </w:p>
    <w:p>
      <w:r>
        <w:t>- 9/16 - P/13050/2013 6B_614/2012 du 15 février 2013 consid. 3.2.5 ; 6B_716/2010 du 15 novembre 2010 consid. 1.3 et 6B_360/2008 du 12 novembre 2008 consid. 4.3).</w:t>
      </w:r>
    </w:p>
    <w:p>
      <w:r>
        <w:t>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135 IV 152 consid. 2.3.1 p. 155 ; SJ 2008 I 373 consid. 7.3.4.5 p. 382-383). La jurisprudence exige même que le coauteur ait une certaine maîtrise des opérations et que son rôle soit plus ou moins indispensable (ATF 136 consid. 2b p. 141 ; 265 consid. 2c/aa p. 271 s. ; 120 IV 17 consid. 2d p. 23 ; 118 IV 397 consid. 2b p. 399).</w:t>
      </w:r>
    </w:p>
    <w:p>
      <w:r>
        <w:t>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3.1</w:t>
      </w:r>
    </w:p>
    <w:p>
      <w:r>
        <w:t>L'art. 183 ch. 1 1ère phr. CP punit de cinq ans de peine privative de liberté au plus ou d'une peine pécuniaire celui qui, sans droit, aura arrêté une personne, l'aura retenue prisonnière, ou l'aura, de toute autre manière, privée de sa liberté.</w:t>
      </w:r>
    </w:p>
    <w:p>
      <w:r>
        <w:t>- 10/16 - P/13050/2013</w:t>
      </w:r>
    </w:p>
    <w:p>
      <w:r>
        <w:t>Il n'est pas nécessaire que la privation de liberté dure longtemps ; quelques minutes suffisent.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Il suffit que le moyen, de manière compréhensible, soit propre à empêcher la victime de partir.</w:t>
      </w:r>
    </w:p>
    <w:p>
      <w:r>
        <w:t>L'infraction est intentionnelle, le dol éventuel suffit. L'auteur de l'infraction doit savoir ou accepter qu'il prive une personne de sa liberté d'aller et venir dans des circonstances qui rendent cette privation illicite (B. CORBOZ, Les infractions en droit suisse, vol. I, 3ème éd., 2010, n. 40 ad art. 183).</w:t>
      </w:r>
    </w:p>
    <w:p>
      <w:r>
        <w:rPr>
          <w:b/>
        </w:rPr>
        <w:t>E. 3.2</w:t>
      </w:r>
    </w:p>
    <w:p>
      <w:r>
        <w:t>En l'espèce, les versions contradictoires des appelants, du plaignant et des témoins concernant le déroulement des faits conduisent la CPAR à apprécier leurs déclarations avec une grande réserve. Il est incontesté que tous se trouvaient dans la salle de conférence de la fiduciaire, de sorte que seul demeure litigieux le fait de savoir si le plaignant et F______ ont été privés de leur liberté.</w:t>
      </w:r>
    </w:p>
    <w:p>
      <w:r>
        <w:t>Aucun élément matériel ne corrobore le récit des évènements du plaignant. En effet, il n'existe aucune preuve ni de l'existence du cutter dont l'appelant aurait été muni, ni de la présence des deux hommes devant la fiduciaire. Les certificats médicaux produits ne corroborent pas ses déclarations relatives aux sévices dont il s'est dit victime. En effet, les petites griffures au bras droit constatées médicalement ne cadrent pas avec ses propos selon lesquels la blessure de son bras gauche aurait été maltraitée, sans compter qu'aucune complication compatible avec ses déclarations n'a été constatée. Bien plus, aucune lésion n'est visible sur les photographies prises lorsqu'il rédigeait la reconnaissance de dette ou sur les images de vidéosurveillance de la banque.</w:t>
      </w:r>
    </w:p>
    <w:p>
      <w:r>
        <w:t>Les déclarations de F______, qui doivent être appréciées à l'aune du lien de loyauté l'unissant à son employeur, n'apparaissent pas plus fiables. Son incapacité à reconnaître les deux hommes qui l'auraient empêchée d'entrer dans la fiduciaire est difficilement compréhensible si l'on sait qu'elle dit avoir longtemps attendu en leur compagnie.</w:t>
      </w:r>
    </w:p>
    <w:p>
      <w:r>
        <w:t>Il paraît inconcevable que le bruit d'une gifle soit entendu depuis l'extérieur d'un bâtiment dont la porte est fermée, si bien que ses propos en la matière semblent seulement destinés à corroborer la version du plaignant. Ses déclarations isolées concernant le saignement de nez du plaignant ne sont pas plus crédibles, celui-ci n'en ayant pas fait état lors de ses auditions. Le certificat médical dressé le jour des faits n'en fait pas davantage mention.</w:t>
      </w:r>
    </w:p>
    <w:p>
      <w:r>
        <w:t>- 11/16 - P/13050/2013</w:t>
      </w:r>
    </w:p>
    <w:p>
      <w:r>
        <w:t>Il ne sera pas accordé plus de crédit aux affirmations de J______, qui affirme avoir observé des hématomes sur le dos et le ventre du plaignant, alors que celui-ci prétend avoir été giflé et que les certificats médicaux sont muets sur la localisation de telles lésions.</w:t>
      </w:r>
    </w:p>
    <w:p>
      <w:r>
        <w:t>Ainsi, au vu de ce qui précède, il doit être admis que le plaignant, F______ et J______ ont tenté d'accorder leurs versions des faits dans le but d'accabler les appelants. Le premier juge s'est fié à tort aux déclarations de F______, qui tentait maladroitement de corroborer la version de son employeur, vu le lien de subordination qui les unissait.</w:t>
      </w:r>
    </w:p>
    <w:p>
      <w:r>
        <w:t>Les seuls éléments de fait avérés ou admis ne permettent pas de retenir que le plaignant et F______ ont été privés de leur liberté. En effet, celui-là admet ne pas avoir tenté de quitter la salle et n'a pas demandé de l'aide à J______ ou à K______ lorsqu'il le pouvait. F______ indique avoir librement pu en sortir lorsqu'elle l'a désiré. Par ailleurs, l'accusation ne démontre pas que les portes de la fiduciaire auraient été fermées à clé, ce qui aurait empêché successivement F______, l'appelante et K______ d'y entrer librement.</w:t>
      </w:r>
    </w:p>
    <w:p>
      <w:r>
        <w:t>Il apparaît plutôt que la partie plaignante s'est sentie mal à l'aise d'être ainsi confrontée à la famille H______, se pensant incapable de les rembourser. L'incohérence et l'inconsistance de ses déclarations, maladroitement confirmées par J______ et F______, et le défaut d'assiduité dans les suites de sa plainte pénale démontrent un certain malaise à assumer sa dénonciation empreinte d'exagérations.</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4.1.2. L'art. 429 al. 1 let. c CPP prévoit que le prévenu acquitté totalement ou en partie a droit à une réparation du tort moral subi en raison d'une atteinte particulièrement grave à sa personnalité, notamment en cas de privation de liberté.</w:t>
      </w:r>
    </w:p>
    <w:p>
      <w:r>
        <w:t>La preuve de l'existence du dommage, son ampleur et sa relation de causalité adéquate avec la poursuite pénale introduite à tort incombent au requérant (arrêt du Tribunal fédéral 6B_595/2007 du 11 mars 2008 consid. 2.2).</w:t>
      </w:r>
    </w:p>
    <w:p>
      <w:r>
        <w:t>4.1.3. L'indemnité pour tort moral sera régulièrement allouée si le prévenu s'est trouvé en détention préventive ou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w:t>
      </w:r>
    </w:p>
    <w:p>
      <w:r>
        <w:t>- 13/16 - P/13050/2013 les conséquences familiale, professionnelle ou politique d'une procédure pénale, de même que les assertions attentatoires aux droits de la personnalité qui pourraient être diffusées par les autorités pénales en cours d'enquête (arrêt du Tribunal fédéral 6B_928/2014 du 10 mars 2016 consid. 5 et la doctrine citée). En revanche, il n'y a pas lieu de prendre en compte les désagréments inhérents à toute poursuite pénale comme la charge psychique que celle-ci est censée entraîner normalement chez une personne mise en cause (arrêt du Tribunal fédéral 6B_928/2014 du 10 mars 2016 consid. 4 destiné à la publication).</w:t>
      </w:r>
    </w:p>
    <w:p>
      <w:r>
        <w:t>4.1.4. Selon l'art. 429 al. 1 let. b CPP, le prévenu acquitté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 destiné à la publication).</w:t>
      </w:r>
    </w:p>
    <w:p>
      <w:r>
        <w:t>4.2.1. En l'espèce, l'acquittement des appelants leur ouvre le droit à une indemnisation pour leurs frais de défense. Le recours à un avocat était nécessaire compte tenu de la complexité des faits et de la gravité de l'infraction reprochée.</w:t>
      </w:r>
    </w:p>
    <w:p>
      <w:r>
        <w:t>4.2.2.1. Les honoraires réclamés par le Conseil de l'appelante paraissent globalement justifiés au regard des prestations fournies, sous réserve de certains postes excessifs. Il en va ainsi des postes "Vacation pour consultation du dossier au Tribunal de police" (3h00), "Etude du dossier et pièces clients" (5h00) et "Préparation procès" (4h00). En effet, selon la pratique de la Cour, la durée des vacations ne doit pas dépasser 30 minutes. Par ailleurs, seules trois heures d'activité pour la préparation de l'audience d'appel seront concédées, dès lors qu'aucun fait nouveau n'est apparu depuis le jugement rendu en première instance. Finalement, une heure sera retranchée pour l'étude du dossier, celui-ci n'étant pas particulièrement volumineux.</w:t>
      </w:r>
    </w:p>
    <w:p>
      <w:r>
        <w:t>Il sera toutefois ajouté 1h10 au poste "Procès au Tribunal de police" et 50 minutes à celui intitulé "Procès à la Cour de justice" pour tenir compte de la durée effective des audiences.</w:t>
      </w:r>
    </w:p>
    <w:p>
      <w:r>
        <w:t>Au vu de ce qui précède, un retranchement de trois heures sera effectué, de sorte que 25h05 donneront lieu à indemnisation.</w:t>
      </w:r>
    </w:p>
    <w:p>
      <w:r>
        <w:t>L'appelante se verra par conséquent allouer la somme de CHF 12'190.50, TVA comprise, pour ses frais de défense occasionnés par la procédure.</w:t>
      </w:r>
    </w:p>
    <w:p>
      <w:r>
        <w:t>- 14/16 - P/13050/2013</w:t>
      </w:r>
    </w:p>
    <w:p>
      <w:r>
        <w:t>4.2.2.2. Les honoraires demandés par le Conseil de l'appelant sont justifiés au regard des prestations fournies, à l'exception du poste "Réception et examen de la déclaration d'appel de Mme H______" (30 minutes), qui n'apparaît pas utile à la défense de l'appelant. Le tarif horaire de chef d’étude sur la base duquel sont calculés les honoraires se situant dans la fourchette basse des tarifs usuels, la CPAR admettra à titre exceptionnel les 40 minutes de stagiaire facturées à CHF 180.-/heure.</w:t>
      </w:r>
    </w:p>
    <w:p>
      <w:r>
        <w:t>L'appelant se verra par conséquent allouer la somme de CHF 13'629.60, TVA comprise, pour ses frais de défense occasionnés par la procédure.</w:t>
      </w:r>
    </w:p>
    <w:p>
      <w:r>
        <w:t>4.2.3. L'indemnité pour tort moral ne sera pas accordée à l'appelante, motif pris que les désagréments qu'elle a subis du fait de la procédure ne dépassent pas la charge psychique entraînée normalement chez toute personne mise en cause dans une procédure pénale, surtout en l'absence de mesure de contrainte. L'appelante ne prouve au demeurant pas l'existence du dommage, son ampleur et sa relation de causalité adéquate avec la poursuite pénale introduite à tort à son encontre.</w:t>
      </w:r>
    </w:p>
    <w:p>
      <w:r>
        <w:t>4.2.4. Ni motivée, ni étayée, la demande d'indemnisation formée par l'appelante pour deux jours de "vacances/travail" perdus subira le même sort, étant au demeurant précisé qu'elle n'est employée qu'à temps partiel à teneur du dossier.</w:t>
      </w:r>
    </w:p>
    <w:p>
      <w:r>
        <w:rPr>
          <w:b/>
        </w:rPr>
        <w:t>E. 5</w:t>
      </w:r>
    </w:p>
    <w:p>
      <w:r>
        <w:t>Vu l'issue de la procédure, les frais de première instance et d'appel seront laissés à la charge de l'Etat (art. 426 al. 1 a contrario, 428 al. 1 ab initio et 428 al. 3 CPP).</w:t>
      </w:r>
    </w:p>
    <w:p>
      <w:r>
        <w:t>- 15/16 - P/13050/2013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