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AARP/470/2014 vom 30. Oktober 2014</w:t>
      </w:r>
    </w:p>
    <w:p>
      <w:r>
        <w:t>GE Cour de justice, 2014-10-30, FR</w:t>
      </w:r>
    </w:p>
    <w:p>
      <w:r>
        <w:rPr>
          <w:b/>
        </w:rPr>
        <w:t xml:space="preserve">Quelle: </w:t>
      </w:r>
      <w:r>
        <w:t>https://mcp.opencaselaw.ch/entscheid/ge_gerichte_AARP_470_2014</w:t>
      </w:r>
    </w:p>
    <w:p>
      <w:r>
        <w:t>FR: GE_GERICHTE AARP/470/2014 du 30 octobre 2014</w:t>
      </w:r>
    </w:p>
    <w:p>
      <w:r>
        <w:t>IT: GE_GERICHTE AARP/470/2014 del 30 ottobre 2014</w:t>
      </w:r>
    </w:p>
    <w:p>
      <w:pPr>
        <w:pStyle w:val="Heading2"/>
      </w:pPr>
      <w:r>
        <w:t>Erwägungen</w:t>
      </w:r>
    </w:p>
    <w:p>
      <w:r>
        <w:rPr>
          <w:b/>
        </w:rPr>
        <w:t>E. 1.1</w:t>
      </w:r>
    </w:p>
    <w:p>
      <w:r>
        <w:t>L'appel principal est recevable pour avoir été interjeté et motivé selon la forme et dans les délais prescrits (art. 398 et 399 CPP). Il en va de même de l'appel joint.</w:t>
      </w:r>
    </w:p>
    <w:p>
      <w:r>
        <w:t>- 17/29 - P/1520/2011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A titre liminaire, la CPAR fait sien l'entier des considérants des premiers juges relatifs à la culpabilité de l'appelant s’agissant des faits non contestés dans la déclaration d’appel, ceux-là consacrant une correcte application du droit.</w:t>
      </w:r>
    </w:p>
    <w:p>
      <w:r>
        <w:rPr>
          <w:b/>
        </w:rPr>
        <w:t>E. 2.1</w:t>
      </w:r>
    </w:p>
    <w:p>
      <w:r>
        <w:t>L’art. 187 ch. 1 CP sanctionne celui qui aura commis un acte d’ordre sexuel sur un enfant de moins de seize ans, celui qui aura entraîné un enfant de cet âge à commettre un tel acte ainsi que celui qui y aura mêlé un enfant de cet âge.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Il résulte de la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6B_918/2010 du 14 mars 2011 consid. 2.1). L’infraction est intentionnelle, l’intention devant porter non seulement sur le caractère sexuel de l’acte, mais aussi sur le fait que la victime est âgée de moins de seize ans, le dol éventuel étant suffisant. L’art. 187 protège le développement des mineurs mais non leur libre détermination en matière sexuelle. En conséquence, cette disposition est appliquée en concours avec l’art. 189 ou 190 CP (B. CORBOZ, Les infractions en droit suisse, vol. I, 3e éd., Berne 2010, n. 60 ad art. 187 CP).</w:t>
      </w:r>
    </w:p>
    <w:p>
      <w:r>
        <w:rPr>
          <w:b/>
        </w:rPr>
        <w:t>E. 2.2</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w:t>
      </w:r>
    </w:p>
    <w:p>
      <w:r>
        <w:t>- 18/29 - P/1520/2011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Sur le plan subjectif, l’infraction est intentionnelle, mais le dol éventuel suffit.</w:t>
      </w:r>
    </w:p>
    <w:p>
      <w:r>
        <w:rPr>
          <w:b/>
        </w:rPr>
        <w:t>E. 2.3</w:t>
      </w:r>
    </w:p>
    <w:p>
      <w:r>
        <w:t>Au vu des éléments du dossier, la renonciation de l’appelant à plaider l’acquittement des chefs de contrainte sexuelle à l’égard de l’enfant V______ et d’acte d’ordre sexuel à l’égard de l’enfant B______ lors de l’audience de jugement ne vient que corroborer les conclusions justifiées des premiers juges.</w:t>
      </w:r>
    </w:p>
    <w:p>
      <w:r>
        <w:t>Les faits décrits par V______, admis par l’appelant, remplissent toutes les conditions objectives et subjectives de l’infraction de contrainte sexuelle, celui-ci ayant isolé sa future victime et lui ayant saisi d’autorité la main, sans la relâcher durant tout l’acte de masturbation, de sorte que c’est à juste titre que ceux-ci ont retenu cette qualification en sus de la qualification d’acte d’ordre sexuel.</w:t>
      </w:r>
    </w:p>
    <w:p>
      <w:r>
        <w:t>L’ensemble des faits décrits par B______, désormais reconnus par l’appelant, remplissent quant à eux les conditions objectives et subjectives de l’infraction d’acte d’ordre sexuel avec un enfant, la précitée ayant été amenée à frotter son pubis sur les genoux de l’appelant et à toucher son sexe, de sorte que le jugement de première instance doit également être confirmé sur ce point et l’appel joint admis.</w:t>
      </w:r>
    </w:p>
    <w:p>
      <w:r>
        <w:rPr>
          <w:b/>
        </w:rPr>
        <w:t>E. 3</w:t>
      </w:r>
    </w:p>
    <w:p>
      <w:r>
        <w:t>3.1.1. Selon l’art. 47 CP, le juge fixe la peine d’après la culpabilité de l’auteur. Il prend en considération les antécédents et la situation personnelle de ce dernier ainsi</w:t>
      </w:r>
    </w:p>
    <w:p>
      <w:r>
        <w:t>- 19/29 - P/1520/2011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129 IV 6 consid. 6.1 p. 20; arrêt du Tribunal fédéral 6B_198/2013 du 3 juin 2013 consid. 1.1.1). 3.1.2. Conformément à la jurisprudence fédérale, une publication préjugeant de la culpabilité d'une personne peut entrer en considération comme facteur de fixation de la peine selon la gravité de l'atteinte aux droits (ATF 128 IV 97 consid. 3b/aa p. 104 ; arrêt du Tribunal fédéral 6B_340/2011 du 5 septembre 2011 consid. 9.2.1.). Ce facteur d'atténuation n'est toutefois admis que lorsque les publications ou propos tenus conduisent à un grave préjugé de la culpabilité de l'accusé, entraînant un quasi- effet de sanction pénale. Il appartient à l'appelant de démontrer en quoi la médiatisation dénoncée a conduit à ce qu'il soit préjugé et lui a causé un préjudice important (cf. ATF 128 IV 97 consid. 3b/bb p. 106 ; R. ROTH / L. MOREILLON (éds), Commentaire romand, Code pénal I, Bâle 2009, n. 97 ad art. 47 CP).</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3.3.1.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w:t>
      </w:r>
    </w:p>
    <w:p>
      <w:r>
        <w:t>- 20/29 - P/1520/2011 de l'art. 47 CP, la mesure de l'atténuation dépendant de la proximité du résultat et des conséquences effectives des actes commis (ATF 121 IV 49 consid. 1b p. 54-55 ; arrêt du Tribunal fédéral 6B_708/2008 du 22 octobre 2008 consid. 3.4.).</w:t>
      </w:r>
    </w:p>
    <w:p>
      <w:r>
        <w:t>3.3.2. A teneur de l'art. 48 lit. d CP, le juge atténue la peine si l'auteur a manifesté un repentir sincère. Le repentir sincère visé à l'art. 48 lit.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Le repentir sincère n'est réalisé que si l'auteur a adopté un comportement particulier, désintéressé et méritoire, qui constitue la preuve concrète d'un repentir sincère. L'auteur doit avoir agi de son propre mouvement dans un esprit de repentir.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ATF 116 IV 288 consid. 2a p. 289 s. ; arrêt du Tribunal fédéral 6B_532/2012 du 8 avril 2013 consid. 5).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3.3.3. Le juge atténue librement la peine en application de l'art. 19 al. 2 CP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w:t>
      </w:r>
    </w:p>
    <w:p>
      <w:r>
        <w:t>- 21/29 - P/1520/2011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(ATF 136 IV 55 consid. 5.5 p. 59 s. ; arrêts du Tribunal fédéral 6B_284/2012 du 29 octobre 2012 consid. 4.1.6, 6B_77/2012 du 18 juin 2012 consid. 1.2.1 et 6B_741/2010 du 9 novembre 2010 consid. 3.1.2).</w:t>
      </w:r>
    </w:p>
    <w:p>
      <w:r>
        <w:rPr>
          <w:b/>
        </w:rPr>
        <w:t>E. 3.4</w:t>
      </w:r>
    </w:p>
    <w:p>
      <w:r>
        <w:t>En l'espèce, la faute de l'appelant est lourde. Il s'en est consciemment pris à l'intégrité des plus vulnérables, profitant, ainsi qu'il l'admet lui-même, de l'autorité naturelle d'un adulte sur un enfant pour assouvir ses pulsions sexuelles, au mépris total du développement de ses très jeunes victimes. Le mode opératoire dénote un sens de l'organisation et par là même une volonté délictuelle certaine, l'appelant ayant veillé à toujours se rendre de l'autre côté de la frontière pour commettre ses méfaits et ayant pris soin de taire ses déplacements à ses proches. L'appelant a agi à réitérées reprises, sur des années, sans jamais tenter, en presque dix ans, de s'arrêter ou de demander de l'aide alors même qu'il était très bien entouré. Au contraire, ses agissements sont allés en s'aggravant, aux seuls actes d'exhibitionnisme s'ajoutant la participation directe des fillettes. Le dernier épisode de janvier 2011, lors duquel il a demandé aux enfants de mettre leur bouche sur son sexe, est le point culminant de cette progression. A teneur de l’expertise psychiatrique, l’appelant était capable d’apprécier le caractère illicite de ses actes et le trouble dont il souffre ne modifie que de manière légère sa faculté à se déterminer d’après cette appréciation. La CPAR retiendra en conséquence, à l’instar des premiers juges et en conformité avec l’expertise psychiatrique dont il n’y a nulle raison de s’écarter, une très légère diminution de responsabilité. Le trouble dont souffre l'appelant, tout comme les problèmes d'alcool qu'il connaissait à cette époque, attestés par ses proches, n’expliquent que très partiellement son comportement. Parent lui-même, l'appelant ne pouvait en effet ignorer les dégâts d'ordre psychologique que peuvent provoquer de tels actes sur des enfants, par ailleurs aujourd'hui bien connus de tout citoyen. Il convient de relever que dans la majorité des cas il n'y a pas eu de contact physique, que les actes commis n'ont heureusement pas eu, de manière générale, des conséquences trop dramatiques sur le développement des enfants et que, dans plusieurs cas, l'infraction n'a été commise que sous sa forme tentée, l'absence de réalisation n'étant cependant pas due à un désistement, mais à des interventions extérieures ou au refus des fillettes, auquel l'appelant ne s'opposait pas. Hormis dans</w:t>
      </w:r>
    </w:p>
    <w:p>
      <w:r>
        <w:t>- 22/29 - P/1520/2011 un cas, l'appelant n'a d'ailleurs jamais usé de contrainte, au sens juridique du terme, sur les enfants. La collaboration de l'appelant à la procédure a été bonne. Dès son arrestation, il a spontanément avoué plusieurs épisodes, dont la police ignorait l'existence, puis a collaboré à l'identification des lieux où s'étaient déroulés les faits, permettant de faire avancer rapidement l'enquête et de recouper différents cas. L'appelant a en revanche eu beaucoup de mal à admettre les cas les plus graves, soit ceux impliquant un contact physique, variant considérablement dans ses déclarations avant de les admettre. Au terme de la procédure d'appel, l'appelant a cependant reconnu tous les faits qui lui sont reprochés, ce qui démontre l'efficience du travail thérapeutique auquel il s'astreint depuis plusieurs années. L'attitude actuelle de l'appelant dénote une prise de conscience certaine, qui va de pair avec une évolution au cours de la procédure, l'appelant ayant dans un premier temps minimisé la gravité de ses actes et de leurs conséquences. L'appelant manifeste depuis le début des remords. Là encore, une évolution doit être soulignée. Alors que l'appelant éprouvait initialement des regrets et de la honte surtout vis-à-vis de ses proches, il semble désormais faire preuve d'empathie sincère à l'égard de ses victimes. Le fait d'acquiescer aux prétentions en réparation du tort moral des parties plaignantes est un gage significatif de ce travail d'introspection. Tous ces éléments sont à prendre en considération en tant que facteurs d’atténuation de la peine, sans pour autant qu'il faille retenir la circonstance atténuante du repentir sincère. En effet, l'attitude de l'appelant, pas particulièrement méritoire, est le fruit d'un travail psychologique auquel certes l'appelant se soumet volontiers et qu'il souhaite poursuivre, mais qui lui a été avant tout imposé par la justice. Son déni partiel a en outre causé des souffrances supplémentaires à ses victimes, qui ne doivent pas être sous-estimées. Il y a concours idéal et réel d'infractions, ce qui doit conduire à une aggravation de la peine. L'absence d'antécédents est neutre sur la fixation de la peine (ATF 136 IV 1). Au vu des critères stricts développés par la jurisprudence, une atténuation de la peine résultant de la prise en compte de la médiatisation de l'affaire ne peut être envisagée dans le cas d'espèce que de manière marginale, l'appelant n'ayant pas démontré notamment en quoi les reportages télévisuels au sujet de l'affaire auraient violé la présomption d'innocence. Quant au tract anonyme, incriminant violemment l'appelant alors que la procédure était en cours, il n'est pas assimilable à une publication dans la presse en termes de diffusion et n'a nullement conduit à un pré-</w:t>
      </w:r>
    </w:p>
    <w:p>
      <w:r>
        <w:t>- 23/29 - P/1520/2011 jugement de la part des autorités. Enfin, si les représailles subies par les proches de l'appelant et lui-même sont inadmissibles, ces violations des droits de la personnalité ne sauraient être considérées comme l’équivalent d’une sanction pénale, d’autant qu’elles ont principalement affecté sa famille et non l’appelant directement.</w:t>
      </w:r>
    </w:p>
    <w:p>
      <w:r>
        <w:t>Parce qu'elle ne tient notamment pas suffisamment compte du stade de réalisation de certaines infractions, de l'importance du résultat et du comportement de l'appelant après son arrestation, la peine prononcée par les premiers juges est excessive. Une peine de trois ans paraît plus adéquate et justifiée. En conséquence, le jugement entrepris sera réformé en ce sens et l’appel principal admis sur ce point.</w:t>
      </w:r>
    </w:p>
    <w:p>
      <w:r>
        <w:rPr>
          <w:b/>
        </w:rPr>
        <w:t>E. 4</w:t>
      </w:r>
    </w:p>
    <w:p>
      <w:r>
        <w:t>Au vu de la peine prononcée, la question du sursis partiel se pose, un sursis total étant en revanche exclu (art. 42 al. 1 CP). 4.1.1. 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4.1.2.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4.1.3.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w:t>
      </w:r>
    </w:p>
    <w:p>
      <w:r>
        <w:t>- 24/29 - P/1520/2011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w:t>
      </w:r>
    </w:p>
    <w:p>
      <w:r>
        <w:rPr>
          <w:b/>
        </w:rPr>
        <w:t>E. 4.2</w:t>
      </w:r>
    </w:p>
    <w:p>
      <w:r>
        <w:t>Aux termes de l'art. 44 al. 1 CP, si le juge suspend totalement ou partiellement l'exécution d'une peine, il impartit au condamné un délai d'épreuve de deux à cinq ans. Des règles de conduites peuvent être imposées durant ce délai (art. 44 al. 2 CP).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La loi prévoit expressément que la règle de conduite peut porter sur des soins médicaux ou psychiques (art. 94 CP). Il est admis en pratique que la règle de conduite peut obliger le condamné à se soumettre à un traitement psychiatrique ou à des contrôles médicaux réguliers (arrêt du Tribunal fédéral 6B_626/2008 du 11 novembre 2008 consid. 6.1).</w:t>
      </w:r>
    </w:p>
    <w:p>
      <w:r>
        <w:rPr>
          <w:b/>
        </w:rPr>
        <w:t>E. 4.3</w:t>
      </w:r>
    </w:p>
    <w:p>
      <w:r>
        <w:t>En l'occurrence, le pronostic quant au comportement futur de l'appelant n'est pas défavorable à court terme. En effet, à dire d'experts, le risque de récidive est à l'heure actuelle limité, l'appelant travaillant beaucoup sur ce risque et la présente procédure ayant eu un fort impact sur lui. L'actuelle stabilité professionnelle de l'appelant concourt à cet état de fait, au même titre que le soutien familial qui lui reste acquis, nonobstant sa séparation d'avec son épouse. Un sursis partiel peut donc être envisagé, pour autant cependant que l'appelant poursuive un suivi psychologique rigoureux, seul à même de diminuer le risque de récidive à plus long terme, qui ne doit être minimisé.</w:t>
      </w:r>
    </w:p>
    <w:p>
      <w:r>
        <w:t>Si la faute de l'appelant, grave au vu des biens juridiques touchés, du nombre et de la fréquence des cas, mérite une sanction ferme conséquente, il convient également de relever l'importance du maintien du lien de confiance que l'appelant a difficilement</w:t>
      </w:r>
    </w:p>
    <w:p>
      <w:r>
        <w:t>- 25/29 - P/1520/2011 établi avec ses thérapeutes, qui lui permet aujourd'hui de poursuivre un travail psychologique aux résultats encourageants. Compte tenu de ces éléments, la partie de la peine privative à exécuter sera arrêtée à 12 mois, permettant de la sorte d'envisager une exécution en semi-détention (art. 77b CP) et la poursuite du traitement thérapeutique avec les mêmes spécialistes.</w:t>
      </w:r>
    </w:p>
    <w:p>
      <w:r>
        <w:t>Pour les motifs de prévention évoqués précédemment, la partie suspendue de la peine sera assortie d'une règle de conduite imposant à l'appelant de poursuivre son suivi psychothérapeutique auprès du Dr MM______. et du psychologue NN______. Un rapport sur le suivi imposé devra être transmis tous les trois mois au Service d'application des peines et mesures. La durée du délai d'épreuve pour la partie suspendue sera arrêtée au maximum légal, soit cinq ans, afin que la prise de conscience liée à la sanction prononcée ne s'estompe pas, que celle-ci exerce une pression suffisante pour détourner durablement l'appelant de la commission de nouvelles infractions et que le traitement thérapeutique puisse produire ses effets.</w:t>
      </w:r>
    </w:p>
    <w:p>
      <w:r>
        <w:rPr>
          <w:b/>
        </w:rPr>
        <w:t>E. 5.1</w:t>
      </w:r>
    </w:p>
    <w:p>
      <w:r>
        <w:t>En vertu de l'art. 126 al. 1 let. a CPP, le tribunal statue sur les conclusions civiles présentées lorsqu’il rend un verdict de culpabilité à l’encontre du prévenu. Conformément à l'art. 49 CO, celui qui subit une atteinte illicite à sa personnalité a droit à une somme d'argent à titre de réparation morale pour autant que la gravité de l'atteinte le justifie et que l'auteur ne lui ait pas donné satisfaction autrement.</w:t>
      </w:r>
    </w:p>
    <w:p>
      <w:r>
        <w:rPr>
          <w:b/>
        </w:rPr>
        <w:t>E. 5.2</w:t>
      </w:r>
    </w:p>
    <w:p>
      <w:r>
        <w:t>Lors des débats d'appel, l'appelant principal et l'appelante jointe se sont accordés tant sur le principe d'une indemnisation du tort moral subi par B______ que sur son montant, arrêté à CHF 2'000.-, ce dont la CPAR prend acte.</w:t>
      </w:r>
    </w:p>
    <w:p>
      <w:r>
        <w:rPr>
          <w:b/>
        </w:rPr>
        <w:t>E. 6.1</w:t>
      </w:r>
    </w:p>
    <w:p>
      <w:r>
        <w:t>L'intimée et appelante jointe obtient gain de cause, le jugement entrepris étant confirmé quant à la culpabilité de l'appelant à son égard. Elle peut en conséquence voir ses frais de défense dans la procédure d'appel prises en charge par l'appelant principal (art. 433 CPP).</w:t>
      </w:r>
    </w:p>
    <w:p>
      <w:r>
        <w:rPr>
          <w:b/>
        </w:rPr>
        <w:t>E. 6.2</w:t>
      </w:r>
    </w:p>
    <w:p>
      <w:r>
        <w:t>La note d'honoraire produite en deuxième instance correspond à une activité nécessaire et justifiée, de sorte que l'appelant sera condamné à en payer l'intégralité à l'intimée et appelante jointe. En tant que de besoin, l'indemnité arrêtée pour les frais de défense en première instance, qui s'élève à CHF 2'800.-, est confirmée.</w:t>
      </w:r>
    </w:p>
    <w:p>
      <w:r>
        <w:rPr>
          <w:b/>
        </w:rPr>
        <w:t>E. 7.1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w:t>
      </w:r>
    </w:p>
    <w:p>
      <w:r>
        <w:t>- 26/29 - P/1520/2011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(cf. A. KUHN / Y JEANNERET (eds), Commentaire romand : Code de procédure pénale suisse, Bâle 2011, n. 1 ad art. 426 CPP), ces frais étant établis conformément au Règlement fixant le tarif des frais en matière pénale du 22 décembre 2010 (RTFMP - E 4 10.03). En cas d'acquittement ou d'abandon partiel des poursuites, les frais doivent être attribués au condamné proportionnellement, dans la mesure des infractions pour lesquelles il est reconnu coupable (L. MOREILLON / A. PAREIN-REYMOND, CPP, Code de procédure pénale, Bâle 2013, n. 6 ad art. 426 CPP).</w:t>
      </w:r>
    </w:p>
    <w:p>
      <w:r>
        <w:rPr>
          <w:b/>
        </w:rPr>
        <w:t>E. 7.2</w:t>
      </w:r>
    </w:p>
    <w:p>
      <w:r>
        <w:t>L'appelant, qui obtient partiellement gain de cause, supportera la moitié des frais de la procédure d'appel, qui comprennent dans leur totalité un émolument de CHF 4'000.- (art. 428 CPP et 14 al. 1 let. e du Règlement fixant le tarif des frais en matière pénale - RTFMP - E 4 10.03), le solde étant laissé à la charge de l'Etat.</w:t>
      </w:r>
    </w:p>
    <w:p>
      <w:r>
        <w:t>Le principe de la condamnation de l'appelant à payer les frais de la procédure de première instance n'a pas à être modifié du fait de la nouvelle décision, celle-ci ne portant pas sur sa culpabilité. Il est en revanche erroné que les premiers juges aient condamné le prévenu à l'intégralité des frais de la procédure alors qu'il a été libéré de plusieurs chefs d'accusation. Pour tenir compte de ces acquittements, qui restent toutefois modestes au regard des infractions constatées, une réduction forfaitaire de CHF 1'500.- sera opérée, ce qui correspond à environ 10% des frais, lesquels seront mis à la charge de l'Etat. * * * * *</w:t>
      </w:r>
    </w:p>
    <w:p>
      <w:r>
        <w:t>- 27/29 - P/1520/2011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