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AARP/46/2023 vom 6. Februar 2023</w:t>
      </w:r>
    </w:p>
    <w:p>
      <w:r>
        <w:t>GE Cour de justice, 2023-02-06, FR</w:t>
      </w:r>
    </w:p>
    <w:p>
      <w:r>
        <w:rPr>
          <w:b/>
        </w:rPr>
        <w:t xml:space="preserve">Quelle: </w:t>
      </w:r>
      <w:r>
        <w:t>https://mcp.opencaselaw.ch/entscheid/ge_gerichte_AARP_46_2023</w:t>
      </w:r>
    </w:p>
    <w:p>
      <w:r>
        <w:t>FR: GE_GERICHTE AARP/46/2023 du 6 février 2023</w:t>
      </w:r>
    </w:p>
    <w:p>
      <w:r>
        <w:t>IT: GE_GERICHTE AARP/46/2023 del 6 febbraio 2023</w:t>
      </w:r>
    </w:p>
    <w:p>
      <w:pPr>
        <w:pStyle w:val="Heading2"/>
      </w:pPr>
      <w:r>
        <w:t>Erwägungen</w:t>
      </w:r>
    </w:p>
    <w:p>
      <w:r>
        <w:rPr>
          <w:b/>
        </w:rPr>
        <w:t>E. 1.1</w:t>
      </w:r>
    </w:p>
    <w:p>
      <w:r>
        <w:t>Selon l'art. 386 al. 2 CPP quiconque a interjeté un recours peut le retirer, s'agissant d'une procédure écrite, avant la clôture de l'échange de mémoires et le terme fixé pour apporter des compléments de preuves ou compléter le dossier (let. b). En l'occurrence, le retrait de l'appel formé par C______ est intervenu en temps utile, de sorte qu'il lui en sera donné acte.</w:t>
      </w:r>
    </w:p>
    <w:p>
      <w:r>
        <w:rPr>
          <w:b/>
        </w:rPr>
        <w:t>E. 1.2</w:t>
      </w:r>
    </w:p>
    <w:p>
      <w:r>
        <w:t>L'appel formé par A______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et, sur le plan interne, par les art. 32 al. 1 de la Constitution fédérale de la Confédération suisse du 18 avril 1999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w:t>
      </w:r>
    </w:p>
    <w:p>
      <w:r>
        <w:t>- 6/16 - P/5130/2017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40). Il dispose à cet égard d'un large pouvoir dans l'appréciation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144 IV 345 consid. 2.2.3.3; arrêts du Tribunal fédéral 6B_623/2012 du 6 février 2013 consid. 2.1 et 6B_642/2012 du 22 janvier 2013 consid. 1.1).</w:t>
      </w:r>
    </w:p>
    <w:p>
      <w:r>
        <w:rPr>
          <w:b/>
        </w:rPr>
        <w:t>E. 2.2</w:t>
      </w:r>
    </w:p>
    <w:p>
      <w:r>
        <w:t>L'art. 303 ch. 1 CP réprime le comportement de celui qui aura dénoncé à l'autorité, comme auteur d'un crime ou d'un délit, une personne qu'il savait innocente, en vue de faire ouvrir contre elle une poursuite pénale (al. 1), ou qui, de toute autre manière, aura ourdi des machinations astucieuses dans le même but (al. 2). Les deux comportements punissables se distinguent en ceci que, dans le premier cas, la personne visée est dénoncée directement, c'est-à-dire nommée par le dénonciateur, tandis que dans le second cas celui-ci recourt à des procédés indirects, qui doivent être astucieux, sans désigner par son nom la personne qu'il veut entraîner dans une poursuite pénale (ATF 95 IV 19 consid. 1 p. 20). Sur le plan objectif, cette disposition exige une communication, écrite ou orale, visant une personne déterminée, ou à tout le moins déterminable, portant sur la commission par cette dernière d'une infraction réprimée par la loi pénale, qu'elle n'a en réalité pas commise. La forme de l'accusation n'est pas importante. Il suffit d'une dénonciation orale ou écrite, au sens le plus large du terme, qui soit susceptible de fonder un soupçon initial. Peu importe qu'elle soit anonyme, que l'auteur agisse de sa propre initiative ou qu'il fasse une déclaration en ce sens dans le cadre d'un interrogatoire ou d'un témoignage. Il n'est pas non plus nécessaire que la personne visée soit nommée expressément, du moment que la communication permettre de déterminer qui est en fin de compte visé (ATF 132 IV 20 consid. 4.2 p. 25; 85 IV 80 consid. 2 p. 83). Le fait de se présenter sous une fausse identité lors d'une arrestation, puis d'un interrogatoire de police, réalise les éléments constitutifs objectifs de l'art. 303 ch. 1 al. 2 CP ; A. MACALUSO / L. MOREILLON / N. QUELOZ (éds), Commentaire romand, Code pénal II, vol. II, Partie spéciale : art. 111-392 CP, Bâle 2017, n. 16 ad art. 303).</w:t>
      </w:r>
    </w:p>
    <w:p>
      <w:r>
        <w:t>- 7/16 - P/5130/2017 L'élément constitutif subjectif de l'infraction exige l'intention et la connaissance de la fausseté de l'accusation. L'auteur doit savoir que la personne qu'il dénonce est innocente et que son accusation est inexacte. Le dol éventuel ne suffit pas (arrêt du Tribunal fédéral 6B_753/2016 du 24 mars 2017 consid. 2.1.2). Par ailleurs, l'auteur doit agir en vue de faire ouvrir une poursuite pénale contre la personne qu'il accuse injustement. Le dol éventuel suffit quant à cette volonté de faire ouvrir une poursuite pénale (ATF 85 IV 83). L'infraction ne peut pas être justifiée par le but de détourner sur un autre les soupçons qui pèsent sur soi (ATF 132 IV 20 consid. 4.4 p. 26).</w:t>
      </w:r>
    </w:p>
    <w:p>
      <w:r>
        <w:rPr>
          <w:b/>
        </w:rPr>
        <w:t>E. 2.3</w:t>
      </w:r>
    </w:p>
    <w:p>
      <w:r>
        <w:t>En l'espèce, on ignore les circonstances exactes qui ont amené les trois protagonistes à désigner l'un des leurs comme s'appelant "H______", plutôt que de le désigné sous sa véritable identité, étant précisé que l'appelant, qui se trouvait dans la même situation que C______, s'agissant de ses antécédents en Suisse et en France, n'a, lui, pas jugé utile de recourir à une identité d'emprunt. Il n'en demeure pas moins que seul C______ a décliné une identité complète, comprenant un nom de famille, une date de naissance et une adresse, ses deux comparses se contentant d'un prénom et affirmant ne pas en savoir davantage.</w:t>
      </w:r>
    </w:p>
    <w:p>
      <w:r>
        <w:t>Or, "H______" est un prénom courant en France (plus de 5'000 personnes semblent y porter ce patronyme, la région [de] J______ étant celle en comptant le plus ; cf. www.______.com/prenom/H______). L'on ne saurait dès lors affirmer que ce seul prénom fourni par l'appelant était suffisant pour provoquer l'ouverture d'une procédure pénale contre une personne déterminable. Il n'est pas non plus possible, en dépit des mensonges manifestes de l'appelant (son défaut de souvenir du cambriolage, pourtant reconnu devant le MP, sa non- reconnaissance de C______, alors que selon ce dernier et I______, ils étaient amis d'enfance), d'affirmer qu'il savait, lorsqu'il a désigné son comparse sous le nom de "H______", que ce dernier correspondait à une personne réelle et n'était pas un prénom choisi au hasard, et de même lorsqu'il a appris le nom de famille de ce dernier, qu'il correspondait à une personne réelle. En effet, bien que l'appelant habite dans la même rue, aucun indice ne permet de retenir qu'il savait qu'un dénommé "H______" résidait dans le même immeuble que son ami C______, étant relevé que leur différence d'âge (six ans) peut soutenir qu'ils n'aient pas fréquentés les mêmes cercles et aient tout ignoré de l'identité l'un de l'autre. Dans ces circonstances, il existe un doute suffisant sur la réalisation des éléments constitutifs de l'art. 303 CP, qui doit bénéficier à l'appelant. Ce dernier sera dès lors acquitté de ce chef d'accusation et le jugement entrepris réformé sur ce point.</w:t>
      </w:r>
    </w:p>
    <w:p>
      <w:r>
        <w:t>- 8/16 - P/5130/2017</w:t>
      </w:r>
    </w:p>
    <w:p>
      <w:r>
        <w:rPr>
          <w:b/>
        </w:rPr>
        <w:t>E. 3.1</w:t>
      </w:r>
    </w:p>
    <w:p>
      <w:r>
        <w:t>Le vol (art. 139 ch. 1 CP) est puni d'une peine privative de liberté de cinq ans au plus ou d'une peine pécuniaire, l'infraction de dommages à la propriété (at. 144 al. 1 CP) et la violation de domicile (art. 186 CP)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les antécédents, y compris ceux étrangers, continuent de jouer un rôle très important dans la fixation de celle-ci (ATF 105 IV 225 consid. 2 ; arrêt du Tribunal fédéral 6B_1202/2014 du 14 avril 2016 consid. 3.5 ; M. NIGGLI / H. WIPRÄCHTIGER, Basler Kommentar Strafrecht I : 1-110 StGB, Jugendstrafgesetz, Bâle 2019, n. 130 ad art. 47).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2ème éd., Bâle 2021, n. 54 ad art. 47).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et ont d'autant moins de poids que la dernière condamnation est ancienne et que l'auteur a adopté un bon comportement depuis (ATF 135 IV 87 consid. 2 p. 89 ; 123 IV 49 consid. 1.d p. 52).</w:t>
      </w:r>
    </w:p>
    <w:p>
      <w:r>
        <w:t>- 9/16 - P/5130/2017</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arrêt du Tribunal fédéral 6B_1216/2017 du 11 juin 2018 consid. 1.1.1), en tenant là aussi compte de toutes les circonstances y relatives (arrêts du Tribunal fédéral 6B_1175/2017 du 11 avril 2018 consid. 2.1 ; 6B_688/2014 du 22 décembre 2017 consid. 27.2.1). Cela vaut également en présence d'infractions étroitement liées sur les plans matériel et temporel, le prononcé d'une peine unique dans le sens d'un examen global de tous les délits à juger n'étant pas possible (ATF 144 IV 217 consid. 3.5).</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w:t>
      </w:r>
    </w:p>
    <w:p>
      <w:r>
        <w:t>- 10/16 - P/5130/2017 la base de tous les éléments propres à éclairer l'ensemble du caractère du prévenu et ses chances d'amendement (ATF 135 IV 180 consid. 2.1).</w:t>
      </w:r>
    </w:p>
    <w:p>
      <w:r>
        <w:rPr>
          <w:b/>
        </w:rPr>
        <w:t>E. 3.6</w:t>
      </w:r>
    </w:p>
    <w:p>
      <w:r>
        <w:t>En l'occurrence, seul doit être sanctionné le cambriolage commis le 8 mars 2017. À cet égard, la faute de l'appelant ne saurait être considérée comme négligeable. Il s'en est pris, en tant qu'auteur ou coauteur, au bien d'autrui, par pur appât du gain facile, causant des dégâts considérables pour un butin minime. Sa collaboration ne saurait être qualifiée de bonne, puisque, hormis à une reprise devant le MP, il a persisté à nier tout souvenir de la soirée, prétextant un abus d'alcool à l'évidence inexistant. L'appelant n'a par ailleurs manifesté aucun remord, n'a pas présenté d'excuses, et n'a donné suite à aucune des convocations qui lui ont été adressées, contrairement à ses engagements. Il a de nombreux antécédents en tant que mineur, y compris spécifiques, et a récidivé postérieurement aux faits objets de la présente procédure, en se rendant coupable, six mois plus tard, d'actes de violence avec usage ou menace d'une arme suivie d'incapacité supérieure à huit jours. Ces éléments commandent le prononcé d'une peine privative de liberté, ce d'autant que sa conclusion tendant au prononcé d'une peine pécuniaire n'est soutenue par aucune argumentation et qu'il reconnaît lui-même être dépourvu des moyens financiers pour en assumer, cas échéant, le paiement. Cela étant, l'appelant paraît s'être assagi et, comme il disait alors le vouloir, "avoir changé de vie" : plus aucune infraction n'est signalée depuis son déménagement en Bretagne ; sa vie familiale semble stable ; il travaille et suit une formation, ce qui n'était pas le cas depuis trois ans lors de son arrestation. Il convient donc d'en tenir compte dans la fixation de la peine. Le premier juge a retenu que la peine de base pour la dénonciation calomnieuse, infraction abstraitement la plus grave, devait être fixée à 60 jours, puis être aggravée de 50 jours (peine hypothétique : 60 jours) pour le vol, de 20 jours (peine hypothétique : 30 jours) pour la violation de domicile et de 20 jours (peine hypothétique : 30 jours) pour le dommage à la propriété. Ces chiffres sont adéquats au vu des critères de l'art. 47 CP et des éléments décrits ci- dessus. L'accusation de dénonciation calomnieuse étant abandonnée, il se justifie donc d'infliger à l'appelant une peine privative de liberté de 100 jours, correspondant à 60 jours pour le vol, majorés de 40 jours pour la violation de domicile et le dommage à la propriété.</w:t>
      </w:r>
    </w:p>
    <w:p>
      <w:r>
        <w:t>- 11/16 - P/5130/2017 L'octroi du sursis, au demeurant acquis à l'appelant en raison de l'interdiction de la reformation in pejus, et dont les conditions sont réalisées, sera confirmé. Il n'y a pas lieu de réduire le délai d'épreuve, fixé par le TP à trois ans.</w:t>
      </w:r>
    </w:p>
    <w:p>
      <w:r>
        <w:rPr>
          <w:b/>
        </w:rPr>
        <w:t>E. 4.1</w:t>
      </w:r>
    </w:p>
    <w:p>
      <w:r>
        <w:t>Conformément à l'art. 66a al. 1 CP, le juge expulse un étranger du territoire suisse pour une durée de cinq à quinze ans s'il est reconnu coupable de l'une des infractions énumérées aux let. a à o, notamment en cas de condamnation pour cambriolage (vol [art. 139 CP] en lien avec une violation de domicile [art. 186 CP]) (let. d). Il peut exceptionnellement renoncer à une expulsion lorsque celle-ci mettrait l'étranger dans une situation personnelle grave et que les intérêts publics à l'expulsion ne l'emportent pas sur l'intérêt privé de l'étranger à demeurer en Suisse (al. 2).</w:t>
      </w:r>
    </w:p>
    <w:p>
      <w:r>
        <w:rPr>
          <w:b/>
        </w:rPr>
        <w:t>E. 4.2</w:t>
      </w:r>
    </w:p>
    <w:p>
      <w:r>
        <w:t>Dans le cas présent, l'appelant ne conteste pas son expulsion, obligatoire, et rien ne s'oppose à son prononcé.</w:t>
      </w:r>
    </w:p>
    <w:p>
      <w:r>
        <w:t>Le jugement entrepris sera donc confirmé sur ce point.</w:t>
      </w:r>
    </w:p>
    <w:p>
      <w:r>
        <w:rPr>
          <w:b/>
        </w:rPr>
        <w:t>E. 4.3</w:t>
      </w:r>
    </w:p>
    <w:p>
      <w:r>
        <w:t>Il n'y a pas lieu d'étendre la mesure d'expulsion prononcée à l'ensemble de l'espace Schengen, le prévenu étant ressortissant d'un État membre.</w:t>
      </w:r>
    </w:p>
    <w:p>
      <w:r>
        <w:rPr>
          <w:b/>
        </w:rPr>
        <w:t>E. 5</w:t>
      </w:r>
    </w:p>
    <w:p>
      <w:r>
        <w:t>Les frais de la procédure sont mis à la charge des parties dans la mesure où elles ont obtenu gain de cause ou succombé. La partie qui retire son appel est considérée avoir succombé (art. 428 al. 1 CPP). Un quart des frais de la procédure d'appel, comprenant un émolument de CHF 1'000.-, sera ainsi mis à charge de C______, qui a retiré son appel, le solde étant laissé à la charge de l'État.</w:t>
      </w:r>
    </w:p>
    <w:p>
      <w:r>
        <w:t>Pour tenir compte de l'acquittement de A______ du chef de dénonciation calomnieuse, il y a lieu de revoir la clé de répartition des frais de première instance, dont seul un quart sera mis à sa charge, l'autre quart étant laissé à celle de l'État et le solde à celle de C______.</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- 12/16 - P/5130/2017 Cette dernière disposition prescrit que l'indemnité, en matière pénale, est calculée selon le tarif horaire de CHF 200.- pour un chef d'études, débours de l'étude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Sont également inclus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Des exceptions demeurent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w:t>
      </w:r>
    </w:p>
    <w:p>
      <w:r>
        <w:rPr>
          <w:b/>
        </w:rPr>
        <w:t>E. 6.2</w:t>
      </w:r>
    </w:p>
    <w:p>
      <w:r>
        <w:t>Me E______, défenseur d'office de C______, n'a pas produit d'état de frais pour la procédure d'appel.</w:t>
      </w:r>
    </w:p>
    <w:p>
      <w:r>
        <w:t>- 13/16 - P/5130/2017</w:t>
      </w:r>
    </w:p>
    <w:p>
      <w:r>
        <w:t>Compte tenu de la faible ampleur de l'activité déployée (cinq courriers, dont la déclaration d'appel et une demande de prolongation de délai, tous signés par des tiers), il sera considéré qu'il y a renoncé. * * * * *</w:t>
      </w:r>
    </w:p>
    <w:p>
      <w:r>
        <w:t>- 14/16 - P/5130/2017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