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AARP/469/2012 vom 21. Dezember 2012</w:t>
      </w:r>
    </w:p>
    <w:p>
      <w:r>
        <w:t>GE Cour de justice, 2012-12-21, FR</w:t>
      </w:r>
    </w:p>
    <w:p>
      <w:r>
        <w:rPr>
          <w:b/>
        </w:rPr>
        <w:t xml:space="preserve">Quelle: </w:t>
      </w:r>
      <w:r>
        <w:t>https://mcp.opencaselaw.ch/entscheid/ge_gerichte_AARP_469_2012</w:t>
      </w:r>
    </w:p>
    <w:p>
      <w:r>
        <w:t>FR: GE_GERICHTE AARP/469/2012 du 21 décembre 2012</w:t>
      </w:r>
    </w:p>
    <w:p>
      <w:r>
        <w:t>IT: GE_GERICHTE AARP/469/2012 del 21 dicembre 2012</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w:t>
      </w:r>
    </w:p>
    <w:p>
      <w:r>
        <w:t>- 5/10 -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2.2</w:t>
      </w:r>
    </w:p>
    <w:p>
      <w:r>
        <w:t>En matière de trafic de stupéfiants, il y a lieu de tenir compte de la quantité de drogue. Même si elle ne joue pas un rôle prépondérant, elle constitue un élément essentiel, qui perd cependant de l’importance au fur et à mesure que s’éloigne la limite à partir de laquelle le cas est grave au sens de l’art. 19 ch. 2 let. a LStup (désormais art. 19 al. 2 let. a LStup ; ATF 121 IV 202 consid. 2d/cc p. 206 ; arrêt du Tribunal fédéral 6B_80/2012 du 14 août 2012 consid. 2.2).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w:t>
      </w:r>
    </w:p>
    <w:p>
      <w:r>
        <w:t>- 6/10 -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Le juge doit en particulier distinguer le cas de celui qui est lui-même toxicomane et agit pour financer sa propre consommation de celui qui participe à un trafic uniquement poussé par l’appât du gain (arrêts du Tribunal fédéral 6B_793/2011 du 26 janvier 2012 consid. 4.1 et 6B_80/2012 du 14 août 2012 consid. 2.2).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2.3.1 Le juge suspend en règle générale l'exécution d'une peine privative de liberté de six mois au moins et de deux ans au plus lorsqu'une peine ferme ne paraît pas nécessaire pour détourner l'auteur d'autres crimes ou délits (art. 42 al. 1 CP). Autrement dit, il faut que le juge puisse retenir l'absence de pronostic défavorable (Message du Conseil fédéral à l'appui de la modification du code pénal suisse du 21 septembre 1998, FF 1999 II p. 1855). Ainsi, le sursis ne pourra être octroyé qu'à la condition qu'il n'existe au dossier aucun élément faisant craindre que le prévenu commette à nouveau des infractions. 2.3.2 Selon l’art. 43 al. 1 CP, le juge peut suspendre partiellement l’exécution notamment d’une peine privative de liberté d’un an au moins et de trois ans au plus afin de tenir compte de façon appropriée de la faute de l’auteur. Les conditions subjectives permettant l’octroi du sursis au sens de l’art. 42 CP s’appliquent également à l’octroi du sursis partiel (ATF 134 IV 1 consid. 5.3.1 p. 10). Il en va ainsi des perspectives d’amendement.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arrêt du Tribunal fédéral 6B_717/2011 du 17 janvier 2012 consid. 2). Il en va de même des conditions posées à l’art. 42 al. 2 CP. L’octroi d’un sursis partiel est dès lors exclu si, durant les cinq ans qui précèdent l’infraction, l’auteur a été condamné à une peine privative de liberté ferme ou avec sursis de six mois au moins ou à une peine pécuniaire de cent quatre-vingts jours-amende au</w:t>
      </w:r>
    </w:p>
    <w:p>
      <w:r>
        <w:t>- 7/10 - moins, sauf s’il justifie de circonstances particulièrement favorables (arrêt du Tribunal fédéral 6B_492/2008 du 19 mai 2009 consid. 3.1.2), c’est-à-dire de circonstances propres à renverser la présomption de pronostic négatif attachée à un tel antécédent.</w:t>
      </w:r>
    </w:p>
    <w:p>
      <w:r>
        <w:rPr>
          <w:b/>
        </w:rPr>
        <w:t>E. 2.4</w:t>
      </w:r>
    </w:p>
    <w:p>
      <w:r>
        <w:t>En l'espèce, la faute de l’appelante est lourde. Elle a exercé le rôle de transporteur d'une quantité importante de drogue, d'un taux de pureté élevé, dans le cadre d'une organisation internationale, ayant obtenu la marchandise par des tiers au Bénin et étant attendue par d'autres personnes en Suisse. L'appelante n'a pas collaboré durant la procédure, niant dans un premier temps les faits qui lui étaient reprochés et donnant des versions contradictoires lors des diverses auditions, non seulement en ce qui concernait les faits mais également au sujet de sa situation familiale et professionnelle. Interpellée par les services de police de l'aéroport dès son arrivée à Genève, elle n’a reconnu les faits qu’une fois confrontée aux éléments à charge recueillis contre elle. Elle n'a pas livré d'informations sur ses contacts en Suisse, au Nigéria ou au Bénin, en particulier sur les récipiendaires de la marchandise qu'elle transportait ni fourni d'éléments utiles sur le réseau qui l'a employée. Sa situation peut paraître précaire, dans la mesure où le revenu mensuel de NGN 20'000.– provenant de son activité lucrative, soit un peu moins de CHF 120.–, doit à peine permettre de subvenir aux besoins de sa famille, bien qu'elle ait admis un chiffre d'affaires encore supérieur. Ses ressources lui ont toutefois permis d'effectuer de nombreux voyages en Europe, ce qui contredit qu'elle se soit trouvée dans le besoin. L'appelante semble même avoir un niveau de vie supérieur à la moyenne dans son pays, lui permettant de financer les études de ses enfants, qui sont particulièrement longues en ce qui concerne l'aîné. Par ailleurs, le contexte difficile qu'elle invoque à la suite du prétendu incendie de son entrepôt de vêtements n'est pas documenté, l'appelante n'ayant au surplus mentionné ce fait qu'après plusieurs auditions et après avoir donné des versions contradictoires sur sa situation professionnelle. Mue par l’appât d’un gain facile à obtenir, l'appelante a pris part à un important trafic de stupéfiants, dont les ramifications dépassaient les frontières nationales, portant sur des quantités de cocaïne susceptibles de mettre en danger la santé de nombreuses personnes. Elle a participé à un trafic dans l'unique but d'en tirer un avantage pécuniaire, n'étant elle- même pas consommatrice de cocaïne. L’appelante n’a par ailleurs cessé de se retrancher derrière sa situation financière difficile pour justifier ses actes, ce qui dénote une prise de conscience imparfaite de la gravité de ses agissements. Les motifs qui l’ont poussée à agir apparaissent disproportionnés par rapport au bien juridique lésé, vu les effets dévastateurs de la cocaïne sur la santé des toxicomanes. Le but invoqué par l'appelante, soit de subvenir aux besoins de sa famille, ne semble que partiellement vrai, et d'autre part ne justifie en aucun cas les moyens qu'elle s'est donnée pour y parvenir, qui dénotent une absence particulière de scrupules.</w:t>
      </w:r>
    </w:p>
    <w:p>
      <w:r>
        <w:t>- 8/10 - L'absence d'antécédents judiciaires ne justifie pas à lui seul une réduction de la peine (ATF 136 IV 1 consid. 2.6.4 p. 3). Pour ces motifs, au regard de la peine-menace de vingt ans, la peine privative de liberté de trois ans infligée à l'appelante, avec sursis partiel et comprenant une peine ferme de 18 mois à exécuter, est adéquate et correspond à la faute commise. Le jugement querellé sera donc entièrement confirmé.</w:t>
      </w:r>
    </w:p>
    <w:p>
      <w:r>
        <w:rPr>
          <w:b/>
        </w:rPr>
        <w:t>E. 3</w:t>
      </w:r>
    </w:p>
    <w:p>
      <w:r>
        <w:t>L'appelante, qui succombe, supportera les frais de la procédure envers l'Etat (art. 428 CPP), comprenant un émolument de CHF 1'500.– (art. 14 al. 1 let. e du règlement fixant le tarif des frais en matière pénale, du 22 décembre 2010 [RTFMP; RS-GE, E 4 10.03]). * * * * *</w:t>
      </w:r>
    </w:p>
    <w:p>
      <w:r>
        <w:t>- 9/10 -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