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AARP/461/2015 vom 8. November 2015</w:t>
      </w:r>
    </w:p>
    <w:p>
      <w:r>
        <w:t>GE Cour de justice, 2015-11-08, FR</w:t>
      </w:r>
    </w:p>
    <w:p>
      <w:r>
        <w:rPr>
          <w:b/>
        </w:rPr>
        <w:t xml:space="preserve">Quelle: </w:t>
      </w:r>
      <w:r>
        <w:t>https://mcp.opencaselaw.ch/entscheid/ge_gerichte_AARP_461_2015</w:t>
      </w:r>
    </w:p>
    <w:p>
      <w:r>
        <w:t>FR: GE_GERICHTE AARP/461/2015 du 8 novembre 2015</w:t>
      </w:r>
    </w:p>
    <w:p>
      <w:r>
        <w:t>IT: GE_GERICHTE AARP/461/2015 del 8 novembre 2015</w:t>
      </w:r>
    </w:p>
    <w:p>
      <w:pPr>
        <w:pStyle w:val="Heading2"/>
      </w:pPr>
      <w:r>
        <w:t>Erwägungen</w:t>
      </w:r>
    </w:p>
    <w:p>
      <w:r>
        <w:rPr>
          <w:b/>
        </w:rPr>
        <w:t>E. 1</w:t>
      </w:r>
    </w:p>
    <w:p>
      <w:r>
        <w:t>L'appel du prévenu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w:t>
      </w:r>
    </w:p>
    <w:p>
      <w:r>
        <w:t>- 6/16 - P/19514/2013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Selon l'art. 10 al. 2 CPP, le tribunal apprécie librement les preuves recueillies selon l'intime conviction qu'il retire de l'ensemble de la procédure, de sorte qu'il y a lieu de considérer que les déclarations d'un prévenu jugé par voie de procédure simplifiée n'ont que la valeur d'une preuve parmi d'autres (ACPR/213/2013 du 13 mai 2013).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w:t>
      </w:r>
    </w:p>
    <w:p>
      <w:r>
        <w:t>- 7/16 - P/19514/2013 De même, il n'y a pas d'arbitraire du seul fait qu'un ou plusieurs arguments corroboratifs sont fragiles, si la solution retenue peut être justifiée de façon soutenable par un ou plusieurs arguments de nature à emporter la conviction (arrêts du Tribunal fédéral 6B_109/2014 du 25 septembre 2014 consid. 2.1, 6B_118/2009 du 20 décembre 2011 consid. 7.2.2 non reproduit in ATF 138 I 97).</w:t>
      </w:r>
    </w:p>
    <w:p>
      <w:r>
        <w:t>2.2.1. Le premier juge n'ayant retenu la culpabilité de l'appelant que du chef de détention de stupéfiants, seule cette question peut rester ouverte en raison de l'interdiction de la reformatio in pejus.</w:t>
      </w:r>
    </w:p>
    <w:p>
      <w:r>
        <w:t>2.2.2. En l'espèce, les explications variées de l'appelant s'agissant des circonstances dans lesquelles il a rencontré D______ et s'est retrouvé dans le hall d'immeuble ne sont pas crédibles et du reste infirmées par son comparse. L'appelant a soutenu avoir contacté ce dernier pour qu'il lui indique une pizzeria, de sorte qu'il parait peu plausible qu'il l'ait croisé de manière fortuite à proximité de l'établissement indiqué. Cette hypothèse est d'autant moins crédible que l'appelant vit à Genève depuis de nombreuses années, ce qui rend douteux le fait qu'il ne sache pas où trouver une pizzeria de qualité. L'explication de l'appelant, selon laquelle, il aurait suivi D______ dans le hall d'immeuble pour discuter sans attirer l'attention de la police n'emporte pas plus la conviction, tant il apparait incohérent qu'il ait préféré laisser sa commande en suspens et suivre son comparse plutôt que de demeurer à couvert, dans l'établissement.</w:t>
      </w:r>
    </w:p>
    <w:p>
      <w:r>
        <w:t>Les déclarations de l'appelant selon lesquelles D______ lui aurait lancé la plaquette de haschich à l'arrivée de la police ne sauraient pas d'avantage être suivies. On comprend mal que ce dernier ait préféré donner la plaquette à l'appelant plutôt que de la lancer dans la cage d'escalier comme il l'a fait par la suite. Le premier juge souligne à juste titre qu'il est également improbable que D______, qui avait pris soin de dissimuler son stock de drogue, se soit trouvé porteur d'une plaquette de haschich s'il n'avait compté la vendre à l'appelant. Au moment de l'interpellation, l'intéressé avait demandé à D______ de se montrer discret lorsqu'il lui avait transmis la drogue, ce qui prouve une nouvelle fois son implication et dément la version selon laquelle il serait la victime de ses manigances.</w:t>
      </w:r>
    </w:p>
    <w:p>
      <w:r>
        <w:t>L'ensemble des éléments figurant au dossier démontre plutôt que l'appelant s'est rendu dans le hall d'entrée pour se procurer des stupéfiants auprès de D______. Au moment de l'interpellation, l'appelant était en possession d'une barrette de haschich de 100 grammes présentant la même marque distinctive que la drogue dissimulée dans le caisson d'extincteur et sur laquelle l'ADN de D______ a été identifié. La somme de CHF 460.- dont ce dernier était porteur est compatible avec l'existence d'une transaction puisque, comme le souligne le premier juge, la drogue échangée entre grossistes et revendeurs est monnayée à un prix inférieur à celui du marché et il est fréquent que le prix soit avancé aux revendeurs qui le remboursent une fois la</w:t>
      </w:r>
    </w:p>
    <w:p>
      <w:r>
        <w:t>- 8/16 - P/19514/2013 drogue écoulée. Par conséquent, bien que la somme trouvée en possession de D______ soit inférieure à la valeur marchande de la plaquette, cet élément ne saurait le disculper. En définitive, l'appelant admet que les éléments du dossier lui sont défavorables, justifiant son innocence par sa présence aux débats d'appel, ce qui n'est guère suffisant.</w:t>
      </w:r>
    </w:p>
    <w:p>
      <w:r>
        <w:t>Au vu de ce qui précède, le jugement dont est appel sera donc confirmé en ce qu'il reconnait l'appelant coupable d'infraction à l'art. 19 al. 1 LStup.</w:t>
      </w:r>
    </w:p>
    <w:p>
      <w:r>
        <w:rPr>
          <w:b/>
        </w:rPr>
        <w:t>E. 3</w:t>
      </w:r>
    </w:p>
    <w:p>
      <w:r>
        <w:t>3.1.1. L'infraction à l'art. 19 al. 1 LStup est passible d'une peine privative de liberté de trois ans au plus ou d'une peine pécuniaire, celles réprimées à l'art. 115 al. 1 LETr d'une peine privative de liberté d'un an au plus ou d'une peine pécuniaire. 3.1.2.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3.2.1. En l'espèce, la faute de l'appelant n'est pas anodine. Il a fait fi des normes en vigueur en acquérant des stupéfiants et en demeurant en Suisse sans les autorisations nécessaires alors qu'il faisait déjà l'objet d'une interdiction d'entrée sur le territoire. Sa collaboration à la procédure a été médiocre. Il a certes immédiatement reconnu résider illégalement en Suisse, ce qu'il pouvait au demeurant difficilement contester ayant été interpellé sur le territoire où il séjourne sans droit. En revanche, il a nié tout au long de la procédure avoir acquis des stupéfiants malgré la drogue trouvée sur lui lors de l'interpellation.</w:t>
      </w:r>
    </w:p>
    <w:p>
      <w:r>
        <w:t>- 9/16 - P/19514/2013 Aucune des circonstances atténuantes prévues par l'art. 48 CP n'est réalisée, ni d'ailleurs plaidée. Il y a concours d'infractions. Les antécédents de l'appelant sont mauvais et spécifiques, ce qui indique qu'il n'a nullement pris conscience du caractère répréhensible de ses actes.</w:t>
      </w:r>
    </w:p>
    <w:p>
      <w:r>
        <w:t>Sa situation personnelle, bien que précaire, ne peut être retenue comme élément à décharge puisqu'elle découle de sa persévérance à continuer à séjourner illégalement en Suisse.</w:t>
      </w:r>
    </w:p>
    <w:p>
      <w:r>
        <w:t>Compte tenu de la situation administrative irrégulière de l'appelant en Suisse et des multiples condamnations à des peines privatives de liberté purgées sans effet dissuasif, aussi bien le travail d'intérêt général qu'une peine pécuniaire sont exclus, de sorte qu'il doit être condamné à une peine privative de liberté.</w:t>
      </w:r>
    </w:p>
    <w:p>
      <w:r>
        <w:t>Au regard de l'ensemble de ces éléments, la courte peine privative de liberté fixée à quatre mois fermes par le tribunal de première instance est adéquate et correspond à la faute de l'appelant, étant précisé que la directive sur le retour 2008/115/CE ne trouve pas application vu la commission conjointe d'une infraction à la LStup.</w:t>
      </w:r>
    </w:p>
    <w:p>
      <w:r>
        <w:t>3.2.2. Le jugement dont est appel sera donc entièrement confirmé.</w:t>
      </w:r>
    </w:p>
    <w:p>
      <w:r>
        <w:rPr>
          <w:b/>
        </w:rPr>
        <w:t>E. 4</w:t>
      </w:r>
    </w:p>
    <w:p>
      <w:r>
        <w:t>4.1.1. À teneur de l'art 426 al.1 CPP, le prévenu supporte les frais de procédure s'il est condamné.</w:t>
      </w:r>
    </w:p>
    <w:p>
      <w:r>
        <w:t>4.2.1. Selon l'art. 87 al. 1 CPP, toute communication doit être notifiée au domicile, au lieu de résidence habituelle ou au siège du destinataire. La sécurité du droit et le principe d'économie de procédure imposent à la personne qui se sait partie à une procédure de prendre les mesures pour être atteignable et d'en supporter, le cas échéant, les conséquences (cf. ATF 138 III 225 consid. 3.1 p. 227 ; ATF 130 III 396 consid. 1.2.3 p. 399 ; arrêt du Tribunal fédéral 2C_1015/2011 du 12 octobre 2012 consid. 3.3.1). L'art. 87 al. 1 CPP ne saurait dès lors être interprété comme interdisant à une partie d'indiquer aux autorités judiciaires une autre adresse que celles mentionnées dans cette disposition. Cette appréciation est appuyée par l'art. 86 CPP qui permet, en procédure pénale également, de notifier toute communication à l'adresse électronique choisie par son destinataire, lorsque celui-ci consent à un tel mode de notification. On ne voit pas que le destinataire d'un acte puisse choisir une adresse électronique à laquelle il veut être atteint, mais non une adresse postale à cette fin. Dès lors que le destinataire a le droit d'indiquer une autre adresse de notification que son domicile ou sa résidence habituelle, il a le droit que les notifications se fassent à l'adresse communiquée. Est toutefois réservée l'hypothèse</w:t>
      </w:r>
    </w:p>
    <w:p>
      <w:r>
        <w:t>- 10/16 - P/19514/2013 où la notification à l'adresse indiquée serait sensiblement plus compliquée que celle à l'un des lieux mentionnés à l'art. 87 al. 1 CPP (ATF 139 IV 228 consid. 1.2 p. 230 = SJ 2014 I 65).</w:t>
      </w:r>
    </w:p>
    <w:p>
      <w:r>
        <w:t>Si les parties sont pourvues d'un conseil juridique, les communications sont valablement notifiées à celui-ci (art. 87 al. 3 CPP). Toutefois, lorsqu'une partie est tenue de comparaître personnellement à une audience, la communication doit lui être adressée directement, copie étant adressée à son conseil juridique (art. 87 al. 4 CPP ; ACPR/148/2013 du 17 avril 2013), étant précisé qu'une personne sans domicile fixe ayant fait élection de domicile en l'étude de son avocat peut se faire notifier celle-ci à l'adresse de son défenseur (ACPR 310/2014 du 23 juin 2014 consid. 3 a contrario et ACPR 364/2013 du 2 août 2013 consid. 3.2 a contrario)</w:t>
      </w:r>
    </w:p>
    <w:p>
      <w:r>
        <w:t>4.2.2. L'art. 88 al. 1 CPP permet la notification édictale, notamment, lorsque le lieu de séjour du destinataire est inconnu et n'a pas pu être déterminé en dépit des recherches qui peuvent raisonnablement être exigées (let. a) et lorsqu'une notification est impossible ou ne serait possible que moyennant des démarches disproportionnées (let. b). Dans ce cas, la notification est réputée avoir eu lieu le jour de sa publication (art. 88 al. 2 CPP).</w:t>
      </w:r>
    </w:p>
    <w:p>
      <w:r>
        <w:t>Pour qu'une notification soit impossible ou disproportionnée au sens de l'art. 88 al. 1 let. b CPP, il faut que le destinataire soit injoignable et introuvable (M. NIGGLI / M. HEER / H. WIPRÄCHTIGER, Schweizerische Strafprozessordnung / Schweizerische Jugendstrafprozessordnung, Basler Kommentar StPO/JStPO, Bâle 2011, n. 5 ad art. 88), par exemple en se soustrayant systématiquement aux tentatives de notification (A. KUHN / Y. JEANNERET (éds), Commentaire romand : Code de procédure pénale suisse, Bâle 2011, n. 13 ad art. 88).</w:t>
      </w:r>
    </w:p>
    <w:p>
      <w:r>
        <w:rPr>
          <w:b/>
        </w:rPr>
        <w:t>E. 4.3</w:t>
      </w:r>
    </w:p>
    <w:p>
      <w:r>
        <w:t>En l'espèce, l'appelant a déclaré faire élection de domicile en l'étude de son défenseur qui l'a fait savoir le 28 janvier 2014. En procédant de la sorte, il a satisfait à son devoir de se rendre atteignable.</w:t>
      </w:r>
    </w:p>
    <w:p>
      <w:r>
        <w:t>Partant, c'est à tort que le Tribunal de police a usé de la publication officielle qui constitue l'ultima ratio des moyens de notifications, plutôt que d'envoyer le mandat de comparution au domicile désigné, ce qui a causé un coût inutile qui ne saurait être mis à la charge de l'appelant.</w:t>
      </w:r>
    </w:p>
    <w:p>
      <w:r>
        <w:t>L'appel sera admis dans cette mesure, les frais de notification par voie édictale étant laissés à la charge de l'Etat. Au surplus l'appelant qui succombe supportera les frais de première instance et d'appel (art. 428 CPP).</w:t>
      </w:r>
    </w:p>
    <w:p>
      <w:r>
        <w:rPr>
          <w:b/>
        </w:rPr>
        <w:t>E. 5.1</w:t>
      </w:r>
    </w:p>
    <w:p>
      <w:r>
        <w:t>Les frais imputables à la défense d'office ou à l'assistance juridique gratuite pour la partie plaignante sont des débours (art. 422 al. 2 let. a CPP) qui constituent des</w:t>
      </w:r>
    </w:p>
    <w:p>
      <w:r>
        <w:t>- 11/16 - P/19514/2013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w:t>
      </w:r>
    </w:p>
    <w:p>
      <w:r>
        <w:t>- 12/16 - P/19514/2013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5.2.3.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5.2.4.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w:t>
      </w:r>
    </w:p>
    <w:p>
      <w:r>
        <w:t>5.2.5. Selon l'art. 17 RAJ, l'état de frais doit détailler, par rubriques, les activités donnant lieu à indemnisation, avec indication du temps consacré, et les justificatifs doivent être joints.</w:t>
      </w:r>
    </w:p>
    <w:p>
      <w:r>
        <w:t>5.2.6.1. Il faut tenir compte, pour apprécier le temps adéquat pour la préparation de l'audience de jugement ou d'appel, des circonstances du cas, notamment du temps</w:t>
      </w:r>
    </w:p>
    <w:p>
      <w:r>
        <w:t>- 13/16 - P/19514/2013 déjà précédemment passé sur le dossier AARP/198/2015 du 31 mars 2015 ; AARP/433/2014 du 7 octobre 2014).</w:t>
      </w:r>
    </w:p>
    <w:p>
      <w:r>
        <w:t>5.2.6.2. Le temps d'attente entre l'heure de la convocation et le début de l'audience est indemnisé par l'assistance juridique.</w:t>
      </w:r>
    </w:p>
    <w:p>
      <w:r>
        <w:t>5.3.1. En l'occurrence, le défenseur d'office a certes omis de déposer son état de frais complémentaire lors de l'audience de jugement. Pour autant, le premier juge n'en aurait pas moins dû estimer le temps nécessaire à la préparation de l'audience et indemniser également celui de la présence de l'avocat à ladite audience, soit 80 minutes.</w:t>
      </w:r>
    </w:p>
    <w:p>
      <w:r>
        <w:t>S'agissant d'un dossier peu volumineux, qui ne présentait aucune difficulté particulière au plan juridique, et que le défenseur d'office devait bien connaître, pour l'avoir suivi durant l'instruction préliminaire déjà et y avoir consacré les 6 heures 15 admises par le premier juge, la CPAR retiendra que deux heures auraient été suffisantes à la préparation, auxquelles il convient, comme déjà dit, d'ajouter les 80 minutes de l'audience elle-même.</w:t>
      </w:r>
    </w:p>
    <w:p>
      <w:r>
        <w:t>L'appel du défenseur d'office sera par conséquent admis dans cette limite, l'indemnité étant portée à CHF 2'225,20 pour 10 heures 35 minutes d'activité, majoration forfaitaire de 20% et TVA au taux de 8% comprise.</w:t>
      </w:r>
    </w:p>
    <w:p>
      <w:r>
        <w:t>5.3.2. En ce qui concerne l'activité déployée devant la juridiction d'appel, la CPAR admettra les 90 minutes portées par le défenseur d'office à son état de frais au titre de la préparation des débats d'appel et de la plaidoirie, auxquelles il convient d'ajouter la durée de l'audience, par 40 minutes, la majoration forfaitaire 20% et la TVA au taux de 8%. En revanche la rédaction des conclusions en indemnisation et d'une réquisition de preuve est couverte par ladite majoration forfaitaire.</w:t>
      </w:r>
    </w:p>
    <w:p>
      <w:r>
        <w:t>L'indemnité pour la procédure d'appel sera partant arrêtée à CHF 561,20. * * * * *</w:t>
      </w:r>
    </w:p>
    <w:p>
      <w:r>
        <w:t>- 14/16 - P/19514/2013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