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AARP/460/2016 vom 17. November 2016</w:t>
      </w:r>
    </w:p>
    <w:p>
      <w:r>
        <w:t>GE Cour de justice, 2016-11-17, FR</w:t>
      </w:r>
    </w:p>
    <w:p>
      <w:r>
        <w:rPr>
          <w:b/>
        </w:rPr>
        <w:t xml:space="preserve">Quelle: </w:t>
      </w:r>
      <w:r>
        <w:t>https://mcp.opencaselaw.ch/entscheid/ge_gerichte_AARP_460_2016</w:t>
      </w:r>
    </w:p>
    <w:p>
      <w:r>
        <w:t>FR: GE_GERICHTE AARP/460/2016 du 17 novembre 2016</w:t>
      </w:r>
    </w:p>
    <w:p>
      <w:r>
        <w:t>IT: GE_GERICHTE AARP/460/2016 del 17 novembre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- 5/10 - P/9936/2015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Les infractions aux art. 19a et 19 al. 1 LStup sont réalisées au regard des éléments du dossier, ce que l'appelant ne conteste plus. La matérialité de l'infraction de séjour illégal n'est pas non plus remise en cause, seule sa punissabilité l'étant. Le jugement entrepris sera par conséquent confirmé sur ces points.</w:t>
      </w:r>
    </w:p>
    <w:p>
      <w:r>
        <w:rPr>
          <w:b/>
        </w:rPr>
        <w:t>E. 3.1</w:t>
      </w:r>
    </w:p>
    <w:p>
      <w:r>
        <w:t>A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Par arrêté fédéral du 18 juin 2010, l'Assemblée fédérale a approuvé la reprise de la Directive sur le retour en tant que développement de l'acquis de Schengen (RO 2010 5925). Les juridictions suisses doivent ainsi faire leur possible pour mettre en œuvre la jurisprudence européenne relative à cette directive (arrêts 6B_320/2013 du 29 août 2013 consid. 3.1 ; 6B_173/2013 du 19 août 2013 consid. 1.4).</w:t>
      </w:r>
    </w:p>
    <w:p>
      <w:r>
        <w:t>La Cour de justice de l'Union européenne (ci-après : CJUE) a précisé que les ressor- tissants de pays tiers ayant, outre le délit de séjour irrégulier, commis un ou plusieurs autres délits, pouvaient le cas échéant, en vertu de l'art. 2 par. 2 let. b de la Directive sur le retour, être soustraits au champ d'application de cette directive (arrêt du</w:t>
      </w:r>
    </w:p>
    <w:p>
      <w:r>
        <w:rPr>
          <w:b/>
        </w:rPr>
        <w:t>E. 3.2</w:t>
      </w:r>
    </w:p>
    <w:p>
      <w:r>
        <w:t>Ayant commis, en sus de l'infraction à la loi sur les étrangers, un délit à la LStup, l'appelant est soustrait à l'application de la Directive sur le retour, de sorte qu'il peut être sanctionné du chef de séjour illégal.</w:t>
      </w:r>
    </w:p>
    <w:p>
      <w:r>
        <w:t>Peu importe que l'appelant n'ait pas commis d'autres délits que le séjour irrégulier durant la période pénale visée par l'ordonnance pénale du 23 mai 2015, dans la mesure où le premier juge a ordonné la jonction des deux procédures, ce qui lui a permis de juger cette infraction conjointement à celles visées par l'ordonnance pénale du 28 octobre 2015. La décision de jonction, que l'appelant n'a pas contestée, était justifiée au regard des conditions de l'art. 30 CPP et d'autant plus pertinente que les deux périodes pénales afférentes au séjour illégal se suivent, si l'on retranche les jours de l'arrestation.</w:t>
      </w:r>
    </w:p>
    <w:p>
      <w:r>
        <w:t>- 6/10 - P/9936/2015</w:t>
      </w:r>
    </w:p>
    <w:p>
      <w:r>
        <w:t>Il est d'ailleurs de règle, autant que possible, de juger en une seule fois toutes les infractions reprochées à un individu, car cela permet de faire application des règles sur le concours d'infractions (art. 49 CP), d'éviter la multitude de jugements rendus à l'encontre du même prévenu, ainsi que le prononcé d'une peine complémentaire ou d'une peine d'ensemble.</w:t>
      </w:r>
    </w:p>
    <w:p>
      <w:r>
        <w:t>Pour ces motifs, l'appelant peut être sanctionné pour l'ensemble des faits pour lesquels il a été reconnu coupable. 4. 4.1.1.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w:t>
      </w:r>
    </w:p>
    <w:p>
      <w:r>
        <w:t>4.1.2.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w:t>
      </w:r>
    </w:p>
    <w:p>
      <w:r>
        <w:t>4.1.3.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w:t>
      </w:r>
    </w:p>
    <w:p>
      <w:r>
        <w:t>4.2. En l'espèce, l'appelant ne réunit pas les conditions du sursis, vu ses antécédents récents et spécifiques qui, combinés à sa situation personnelle, notamment administrative et financière, rendent la peine pécuniaire et le travail d'intérêt général</w:t>
      </w:r>
    </w:p>
    <w:p>
      <w:r>
        <w:t>- 7/10 - P/9936/2015 inadéquats et non dissuasifs. Le prononcé d'une courte peine privative de liberté sera ainsi confirmé.</w:t>
      </w:r>
    </w:p>
    <w:p>
      <w:r>
        <w:t>Quant à sa quotité, la faute de l'appelant est de gravité moyenne et il y a concours d'infractions. Il s'est adonné à un trafic de stupéfiants qui porte certes sur des drogues dites douces mais dont les quantités n'étaient pas insignifiantes. La période pénale du séjour illégal est importante.</w:t>
      </w:r>
    </w:p>
    <w:p>
      <w:r>
        <w:t>Pour précaire qu'elle soit, la condition de l'appelant ne justifie pas son comportement, ce d'autant qu'il existe des organismes qui viennent en aide aux personnes dans sa situation administrative et préviennent du dénuement qui ferait de la délinquance une des seules options envisageables pour survivre. Cette précarité résulte d'ailleurs de son refus de retourner dans son pays d'origine, alors que sa demande d'asile a été rejetée depuis longue date.</w:t>
      </w:r>
    </w:p>
    <w:p>
      <w:r>
        <w:t>Sa collaboration à la procédure n'a pas été bonne, dès lors qu'il est revenu sur ses aveux initiaux devant le premier juge, et sa prise de conscience est imparfaite, même s'il semble avoir compris qu'il n'a aucun avenir en Suisse.</w:t>
      </w:r>
    </w:p>
    <w:p>
      <w:r>
        <w:t>Aucune des circonstances atténuantes de l'art. 48 CP n'est réalisée, le dossier ne renfermant aucun indice concret permettant de retenir l'existence d'une menace grave ou d'un état de nécessité excusable en lien avec l'infraction de séjour illégal.</w:t>
      </w:r>
    </w:p>
    <w:p>
      <w:r>
        <w:t>L'amende de CHF 100.-, qui sanctionne la consommation de stupéfiants, est mesurée et a été fixée conformément aux critères légaux, de sorte qu'elle sera maintenue, tout comme la peine privative de liberté de substitution d'un jour. 5. L'appelant, qui succombe, supportera les frais de la procédure envers l'Etat (art. 428 CPP).</w:t>
      </w:r>
    </w:p>
    <w:p>
      <w:r>
        <w:rPr>
          <w:b/>
        </w:rPr>
        <w:t>E. 6</w:t>
      </w:r>
    </w:p>
    <w:p>
      <w:r>
        <w:t>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w:t>
      </w:r>
    </w:p>
    <w:p>
      <w:r>
        <w:t>- 8/10 - P/9936/2015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l'occurrence, considéré dans sa globalité, l'état de frais produit par le défenseur d'office de l'appelant paraît adéquat et conforme aux principes qui précèdent, si ce n'est que le temps de rédaction de l'annonce et de la déclaration d'appel doit être retranché, ces prestations étant incluses dans le forfait pour l'activité diverse. Les 2h00 consacrées à une audience devant le Ministère public en mars 2016 ne concernent visiblement pas cette procédure et doivent aussi être écartées.</w:t>
      </w:r>
    </w:p>
    <w:p>
      <w:r>
        <w:t>L'indemnité sera arrêtée à CHF 1'071.10 correspondant à 2h50 d'activité au tarif de CHF 200.-/heure et 4h00 au tarif de CHF 65.-/heure, plus la majoration forfaitaire de 20% et l'équivalent de la TVA au taux de 8% en CHF 79.30. * * * * *</w:t>
      </w:r>
    </w:p>
    <w:p>
      <w:r>
        <w:t>- 9/10 - P/9936/2015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