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AARP/459/2015 vom 29. September 2015</w:t>
      </w:r>
    </w:p>
    <w:p>
      <w:r>
        <w:t>GE Cour de justice, 2015-09-29, FR</w:t>
      </w:r>
    </w:p>
    <w:p>
      <w:r>
        <w:rPr>
          <w:b/>
        </w:rPr>
        <w:t xml:space="preserve">Quelle: </w:t>
      </w:r>
      <w:r>
        <w:t>https://mcp.opencaselaw.ch/entscheid/ge_gerichte_AARP_459_2015</w:t>
      </w:r>
    </w:p>
    <w:p>
      <w:r>
        <w:t>FR: GE_GERICHTE AARP/459/2015 du 29 septembre 2015</w:t>
      </w:r>
    </w:p>
    <w:p>
      <w:r>
        <w:t>IT: GE_GERICHTE AARP/459/2015 del 29 settembre 2015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Les infractions non contestées en appel étant établies à teneur du dossier et le jugement de première instance consacrant une correcte application du droit, la CPAR ne les réexaminera pas. Il en va de même de la contravention prononcée pour l'infraction à la LStup.</w:t>
      </w:r>
    </w:p>
    <w:p>
      <w:r>
        <w:rPr>
          <w:b/>
        </w:rPr>
        <w:t>E. 1.2.1</w:t>
      </w:r>
    </w:p>
    <w:p>
      <w:r>
        <w:t>et 6B_741/2010 du 9 novembre 2010 consid. 3.1.2).</w:t>
      </w:r>
    </w:p>
    <w:p>
      <w:r>
        <w:rPr>
          <w:b/>
        </w:rPr>
        <w:t>E. 2.1</w:t>
      </w:r>
    </w:p>
    <w:p>
      <w:r>
        <w:t>p. 254 ; arrêts du Tribunal fédéral 6B_1153/2014 du 16 mars 2015 consid. 1.1 et 6B_299/2014 du 19 août 2014 consid. 4.1).</w:t>
      </w:r>
    </w:p>
    <w:p>
      <w:r>
        <w:rPr>
          <w:b/>
        </w:rPr>
        <w:t>E. 2.2</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Conformément à l'art. 139 ch. 2 CP, le vol est puni d'une peine privative de liberté de dix ans au plus ou d'une peine pécuniaire de 90 jours-amende au moins si son auteur en fait métier.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(ATF 129 IV 253 consid.</w:t>
      </w:r>
    </w:p>
    <w:p>
      <w:r>
        <w:rPr>
          <w:b/>
        </w:rPr>
        <w:t>E. 2.3</w:t>
      </w:r>
    </w:p>
    <w:p>
      <w:r>
        <w:t>L'art. 144 al 1 CP punit, sur plainte, d'une peine privative de liberté de trois ans au plus ou d'une peine pécuniaire celui qui endommage, détruit ou met hors d'usage une chose appartenant à autrui ou frappée d'un droit d'usage ou d'usufruit au bénéfice d'autrui.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L'infraction n'est réalisée que si elle a été commise intentionnellement, ce qui signifie que l'auteur doit avoir eu conscience, au moins sous la forme du dol éventuel, de s'en prendre à une chose appartenant à autrui (ATF 116 IV 143 consid. 2b p. 145). 2.4.1. En l'espèce, ainsi que l'a relevé le premier juge, le temps écoulé entre l'arrivée en gare de Genève du train pris par B______ (12h01) et l'heure de la première transaction effectuée au moyen de sa carte de crédit volée (12h19), à laquelle l'appelant reconnaît avoir procédé, rend la thèse d'une rencontre, même de quelques minutes, avec une connaissance vers les Pâquis avant de se rendre au magasin H______ situé en face de la gare difficilement plausible. L'on ne comprend par</w:t>
      </w:r>
    </w:p>
    <w:p>
      <w:r>
        <w:t>- 11/21 - P/21185/2014 ailleurs pas quel aurait été l'intérêt de remettre cette carte à l'appelant pour qu'il effectue des achats qui, selon ses dernières déclarations, n'ont profité qu'à lui-même. L'appelant a eu pour trait caractéristique dans la procédure de nier dans un premier temps les faits. Dans les cas G______ et E______, il a ensuite admis l'utilisation de la carte de crédit et du permis de conduire dérobés – faits difficilement contestables vu les éléments du dossier – tout en expliquant qu'une connaissance les lui avait remis. A la seule différence qu'elles ont perduré au-delà de l'audience de jugement de première instance, ses dénégations dans le cas du vol du porte-monnaie de B______ s'inscrivent exactement dans la même stratégie, de sorte que leur constance ne contrebalance en aucune façon leur manque de vraisemblance. Enfin, la parfaite identité de mode opératoire entre le cas encore contesté et les autres faits reprochés à l'appelant, tant quant aux lieux des vols qu'à l'immédiateté ou presque d'utilisation des cartes dérobées pour des achats de même type dans les mêmes commerces, convainc la CPAR que l'appelant est l'auteur du vol du porte- monnaie de B______. Le jugement entrepris sera confirmé en tant qu'il a reconnu l'appelant coupable de vol par métier, la réalisation des éléments constitutifs de cette infraction et de l'aggravante du métier ne nécessitant pas d'autre examen, ce que l'appelant ne conteste au demeurant pas. Au vu de ce qui précède, l'appel sera rejeté sur ce point. 2.4.2. Nonobstant ses nouvelles déclarations à l'audience d'appel concernant le deuxième local, la CPAR tient pour établi que l'appelant a uriné comme décrit dans le rapport de la police vaudoise dans les deux cellules qui lui ont été attribuées lors de sa détention du 4 octobre 2014, ce qui a engendré des frais de nettoyage pour les remettre en état. La deuxième cellule étant équipée de latrines, l'appelant ne peut prétendre avoir agi en raison de problèmes de santé, sans intention de causer des déprédations. Cette intention claire est encore confirmée par le fait que l'appelant a, selon les déclarations orales du gendarme en charge du rapport, qui s'accordent avec le montant des frais de nettoyage encourus, uriné partout dans la cellule. Les faits survenus dans la seconde cellule rendent les explications de l'appelant au sujet de son incontinence dans la première peu crédibles, tandis qu'il n'y a aucune raison de s'écarter du rapport de police attestant d'un contrôle médical par les ambulanciers, lesquels n'ont détecté aucun problème de santé chez l'appelant. Il y a dès lors lieu de retenir que l'appelant a uriné contre la porte de sa cellule sciemment et volontairement, pour manifester son mécontentement d'être arrêté, attitude qu'il avait déjà eue par le passé selon l'expertise psychiatrique.</w:t>
      </w:r>
    </w:p>
    <w:p>
      <w:r>
        <w:t>- 12/21 - P/21185/2014 Au vu de ce qui précède, le jugement entrepris sera confirmé et l'appel rejeté.</w:t>
      </w:r>
    </w:p>
    <w:p>
      <w:r>
        <w:rPr>
          <w:b/>
        </w:rPr>
        <w:t>E. 3</w:t>
      </w:r>
    </w:p>
    <w:p>
      <w:r>
        <w:t>Dans sa déclaration d'appel, l'appelant a contesté la peine prononcée quel que soit le verdict de culpabilité retenu.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L'âge et l'état de santé du délinquant font partie des éléments susceptibles de le rendre plus vulnérable face à la peine. Cette vulnérabilité ne doit toutefois être retenue comme circonstance atténuante que si elle rend la sanction considérablement plus dure que pour la moyenne des autres condamnés (arrêts du Tribunal fédéral 6B_623/2014 du 5 janvier 2015 consid. 3.6.1 et 6B_533/2011 du 10 novembre 2011 consid. 7.1 et les références citées).</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- 13/21 - P/21185/2014</w:t>
      </w:r>
    </w:p>
    <w:p>
      <w:r>
        <w:rPr>
          <w:b/>
        </w:rPr>
        <w:t>E. 3.3</w:t>
      </w:r>
    </w:p>
    <w:p>
      <w:r>
        <w:t>Aux termes de l'art. 19 al. 2 CP, le juge atténue la peine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(ATF 136 IV 55 consid. 5.5 p. 59 s. ; arrêts du Tribunal fédéral 6B_284/2012 du 29 octobre 2012 consid. 4.1.6 ; 6B_77/2012 du 18 juin 2012 consid.</w:t>
      </w:r>
    </w:p>
    <w:p>
      <w:r>
        <w:rPr>
          <w:b/>
        </w:rPr>
        <w:t>E. 3.4</w:t>
      </w:r>
    </w:p>
    <w:p>
      <w:r>
        <w:t>En l'espèce, la faute de l'appelant, importante vu les montants en cause, la multiplicité d'infractions de même nature à intervalles rapprochés et l'intensité de sa volonté délictuelle, illustrée par son professionnalisme, est faiblement diminuée par le constat psychiatrique, dont il n'y a pas lieu de s'écarter, d'une responsabilité légèrement restreinte. L'appelant agit par convenance, pour satisfaire sans effort ses besoins financiers, sans égard pour la propriété d'autrui. Il n'a pas cherché au cours des années à remédier à sa situation précaire, qui ne saurait justifier ses actes. La collaboration à la procédure a été médiocre, l'appelant n'admettant les faits qu'une fois confronté aux éléments matériels du dossier. La prise de conscience est pratiquement inexistante, l'appelant se dédouanant de son comportement au motif d'hallucinations auditives et de soucis somatiques non constatés médicalement. Il y a concours. Les antécédents de l'appelant, mauvais, révèlent des condamnations pour des faits qui ne diffèrent guère de la présente procédure.</w:t>
      </w:r>
    </w:p>
    <w:p>
      <w:r>
        <w:t>- 14/21 - P/21185/2014 Ses réels problèmes de santé peuvent être et sont traités en milieu carcéral. Son âge et ses troubles psychiatriques rendent la condamnation difficile à supporter, sans que la sanction paraisse considérablement plus dure que pour tout autre condamné. La peine privative de liberté de 22 mois prononcée par le premier juge reflète adéquatement les éléments qui précèdent et tient compte du concours rétrospectif partiel. Elle sera par conséquent confirmée.</w:t>
      </w:r>
    </w:p>
    <w:p>
      <w:r>
        <w:rPr>
          <w:b/>
        </w:rPr>
        <w:t>E. 4</w:t>
      </w:r>
    </w:p>
    <w:p>
      <w:r>
        <w:t>4.1.1. 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4.1.2. Pour la durée du délai d'épreuve, le juge peut ordonner une assistance de probation et imposer des règles de conduite (art. 44 al. 2 CP). Les règles de conduite sont celles énumérées de façon non exhaustive à l'art. 94 CP. La loi prévoit expressément que la règle de conduite peut porter sur des soins médicaux ou psychiques (cf. art. 94 CP).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Elle n'exige notamment pas que le condamné souffre d'un grave trouble mental, soit toxicomane dépendant ou souffre d'une autre addiction ; il ne peut être affecté de l'un de ces troubles qu'à un faible degré. En outre, en cas d'échec, la règle de conduite ne</w:t>
      </w:r>
    </w:p>
    <w:p>
      <w:r>
        <w:t>- 15/21 - P/21185/2014 peut pas être convertie en une mesure thérapeutique institutionnelle (conformément à l'art. 63b al. 5 CP ; arrêt du Tribunal fédéral 6B_626/2008 du 11 novembre 2008 consid. 6.1).</w:t>
      </w:r>
    </w:p>
    <w:p>
      <w:r>
        <w:t>4.2.1.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w:t>
      </w:r>
    </w:p>
    <w:p>
      <w:r>
        <w:t>4.2.2.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w:t>
      </w:r>
    </w:p>
    <w:p>
      <w:r>
        <w:rPr>
          <w:b/>
        </w:rPr>
        <w:t>E. 4.3</w:t>
      </w:r>
    </w:p>
    <w:p>
      <w:r>
        <w:t>En l'espèce, la nécessité d'un traitement des troubles dont souffre l'appelant est manifeste. D'après l'expertise psychiatrique, le prononcé d'un traitement ambulatoire couplé à un suivi socio-éducatif est seul à même de diminuer le risque de récidive, qualifié de très élevé. Aucun élément ne justifie de s'écarter de ces conclusions étayées. L'appelant lui-même ne conteste d'ailleurs pas souffrir d'un grave trouble mental qui est en lien avec les actes reprochés, même s'il le qualifie différemment, ni la pertinence de la mesure envisagée.</w:t>
      </w:r>
    </w:p>
    <w:p>
      <w:r>
        <w:t>Le prononcé d'une telle mesure implique un pronostic défavorable puisqu'il est notamment fondé sur le risque élevé de récidive, étant au surplus relevé que ledit pronostic résulte également de l'examen des antécédents et de la situation actuelle de l'appelant. Assortir la peine prononcée du sursis et envisager le traitement préconisé sous forme de règle de conduite est en conséquence exclu.</w:t>
      </w:r>
    </w:p>
    <w:p>
      <w:r>
        <w:t>Le jugement dont est appel sera dès lors intégralement confirmé.</w:t>
      </w:r>
    </w:p>
    <w:p>
      <w:r>
        <w:rPr>
          <w:b/>
        </w:rPr>
        <w:t>E. 5</w:t>
      </w:r>
    </w:p>
    <w:p>
      <w:r>
        <w:t>Le maintien en détention de l'appelant pour des motifs de sûretés a été prononcé par ordonnance présidentielle du 29 septembre 2015.</w:t>
      </w:r>
    </w:p>
    <w:p>
      <w:r>
        <w:t>- 16/21 - P/21185/2014</w:t>
      </w:r>
    </w:p>
    <w:p>
      <w:r>
        <w:rPr>
          <w:b/>
        </w:rPr>
        <w:t>E. 6.1</w:t>
      </w:r>
    </w:p>
    <w:p>
      <w:r>
        <w:t>L'appelant, qui succombe, sera condamné aux frais de la procédure d'appel, qui comprennent un émolument de décision de CHF 2'000.- (art. 428 CPP et 14 al. 1 let. e du Règlement fixant le tarif des frais en matière pénale [RTFMP ; E 4 10.03]).</w:t>
      </w:r>
    </w:p>
    <w:p>
      <w:r>
        <w:rPr>
          <w:b/>
        </w:rPr>
        <w:t>E. 6.2</w:t>
      </w:r>
    </w:p>
    <w:p>
      <w:r>
        <w:t>La mise à sa charge de l'entier des frais de la procédure de première instance est justifiée vu les verdicts de culpabilité retenus (art. 426 CPP).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w:t>
      </w:r>
    </w:p>
    <w:p>
      <w:r>
        <w:t>- 17/21 - P/21185/2014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Les communications et courriers divers sont en principe inclus dans le forfait (AARP/326/2015 du 16 juillet 2015 ; AARP/193/2015 du 27 avril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La réception et lecture de pièces, procès-verbaux, ordonnances et jugements, plus particulièrement lorsqu'ils ne tiennent que sur quelques pages ou n'appellent pas de réaction notamment parce qu'ils ne font que fixer la suite de la procédure ou ne sont pas susceptibles de recours sur le plan cantonal, est également couverte par le forfait (AARP/331/2015 du 27 juillet 2015 ; AARP/362/2015 du 16 juillet 2015 ; AARP/281/2015 du 25 juin 2015 ; AARP/272/2015 du 1er juin 2015). 7.2.4.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w:t>
      </w:r>
    </w:p>
    <w:p>
      <w:r>
        <w:t>- 18/21 - P/21185/2014 des diligences de l'avocat, dans la mesure où elle ne fait pas appel à ses compétences intellectuelles relevant de l'exécution du mandat stricto sensu (arrêt non publié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CPAR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7.2.5. Selon l'art. 17 RAJ, l'état de frais doit détailler, par rubriques, les activités donnant lieu à indemnisation, avec indication du temps consacré, et les justificatifs doivent être joints.</w:t>
      </w:r>
    </w:p>
    <w:p>
      <w:r>
        <w:rPr>
          <w:b/>
        </w:rPr>
        <w:t>E. 7.3</w:t>
      </w:r>
    </w:p>
    <w:p>
      <w:r>
        <w:t>En l'espèce, les deux heures consacrées par Me X______ à l'examen du procès-verbal d'audience, du dispositif et de la motivation du jugement de première instance, ainsi que les 2h30 dédiées à la rédaction de la déclaration d'appel seront déduites de son état de frais dès lors que la cause ne justifie pas de les indemniser autrement que par le biais du forfait pour l'activité diverse. Il convient en revanche d'ajouter une heure d'activité, correspondant au temps d'audience d'appel, au total des heures détaillées par Me X______ (09h10 d'activité et 20 minutes de déplacement). Ainsi, l'indemnité sera arrêtée à CHF 2'475.-, correspondant à 10h10 d'activité au tarif de CHF 200.-/heure et une vacation à CHF 50.-, majoration forfaitaire de 10% [CHF 208.35] vu l'activité déployée au cours de la procédure et TVA au taux de 8% [183.35] incluses. * * * * *</w:t>
      </w:r>
    </w:p>
    <w:p>
      <w:r>
        <w:t>- 19/21 - P/21185/2014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