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AARP/458/2016 vom 16. November 2016</w:t>
      </w:r>
    </w:p>
    <w:p>
      <w:r>
        <w:t>GE Cour de justice, 2016-11-16, FR</w:t>
      </w:r>
    </w:p>
    <w:p>
      <w:r>
        <w:rPr>
          <w:b/>
        </w:rPr>
        <w:t xml:space="preserve">Quelle: </w:t>
      </w:r>
      <w:r>
        <w:t>https://mcp.opencaselaw.ch/entscheid/ge_gerichte_AARP_458_2016</w:t>
      </w:r>
    </w:p>
    <w:p>
      <w:r>
        <w:t>FR: GE_GERICHTE AARP/458/2016 du 16 novembre 2016</w:t>
      </w:r>
    </w:p>
    <w:p>
      <w:r>
        <w:t>IT: GE_GERICHTE AARP/458/2016 del 16 novembre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w:t>
      </w:r>
    </w:p>
    <w:p>
      <w:r>
        <w:t>- 5/9 - P/6038/2014 Le principe de l'accusation est une composante du droit d'être entendu consacré par l'art. 29 al. 2 Cst. et peut aussi être déduit des art. 32 al. 2 de la Constitution fédérale de la Confédération suisse du 18 avril 1999 (Cst. ; RS 101) et 6 par. 3 de la Convention de sauvegarde des droits de l'homme et des libertés fondamentales du</w:t>
      </w:r>
    </w:p>
    <w:p>
      <w:r>
        <w:rPr>
          <w:b/>
        </w:rPr>
        <w:t>E. 2.2</w:t>
      </w:r>
    </w:p>
    <w:p>
      <w:r>
        <w:t>En l'espèce, les propos tenus par l'intimé faisaient clairement entendre que celui-ci allait s'en prendre à l'intégrité physique de l'appelant. Ces propos, d'une grande violence, étaient objectivement propres à l'alarmer ou à l'effrayer et constituent donc une menace grave. Le premier élément constitutif objectif propre à la menace est ainsi réalisé. S'agissant du second, l'appelant a certes fait valoir devant la CPAR qu'il savait que l'intimé était un ancien policier, formé aux techniques de combat et amateur d'armes, et qu'il avait des antécédents pénaux. Il se méfiait donc de ce dont il était capable. Il ne ressort toutefois ni de sa plainte ni de ses premières déclarations au Ministère public que les propos de l'intimé l'auraient d'une quelconque manière effrayé. La réaction du plaignant telle qu'elle résulte de la retranscription de la conversation téléphonique ne laisse pas non plus transparaître un effroi particulier. Dès lors</w:t>
      </w:r>
    </w:p>
    <w:p>
      <w:r>
        <w:t>- 7/9 - P/6038/2014 qu'aucun élément du dossier, hormis les propos tardifs de l'appelant notamment devant la Chambre de céans, n'atteste de l'alarme ou de l'effroi qu'il aurait consécutivement ressenti, il subsiste un doute insurmontable, qui devra bénéficier à l'intimé. En sus, l'ordonnance pénale valant acte d'accusation omet également toute mention matérielle relative à cet élément constitutif objectif, qui ne saurait donc être considéré comme réalisé également pour ce motif, conformément au principe de l'accusation. Aussi, l'acquittement prononcé sera confirmé et l'appel rejeté. 3. L'appel étant rejeté, l'appelant supportera les frais de ladite procédure (art. 428 al. 1 CPP et 14 al. 1 let. e du Règlement fixant le tarif des frais en matière pénale [E 4 10.03]), comprenant un émolument de CHF 1'500.-. * * * * *</w:t>
      </w:r>
    </w:p>
    <w:p>
      <w:r>
        <w:t>- 8/9 - P/6038/2014</w:t>
      </w:r>
    </w:p>
    <w:p>
      <w:r>
        <w:rPr>
          <w:b/>
        </w:rPr>
        <w:t>E. 4</w:t>
      </w:r>
    </w:p>
    <w:p>
      <w:r>
        <w:t>novembre 1950 (CEDH ; RS 0.101), qui n'ont à cet égard pas de portée distincte. Il implique que le prévenu sache exactement les faits qui lui sont reprochés et quelles sont les peines et mesures auxquelles il est exposé, afin qu'il puisse s'expliquer et préparer efficacement sa défense (ATF 140 IV 188 consid. 1.3 p. 190 ; ATF 133 IV 235 consid. 6.2 p. 244 ; ATF 126 I 19 consid. 2a p. 21 ; arrêt du Tribunal fédéral 6B_58/2016 du 18 août 2016 consid. 1.1).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6B_58/2016 du 18 août 2016 consid. 1.1 et 6B_489/2013 du 9 juillet 2013 consid. 1.1). Lorsque, par la voie de l'opposition, l'affaire est transmise au tribunal de première instance, l'ordonnance pénale tient lieu d'acte d'accusation (art. 356 al. 1 CPP). 2.1.2.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- 6/9 - P/6038/2014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2.1.3.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La menace peut en outre être transmise par un intermédiaire (B. CORBOZ, Les infractions en droit suisse, vol. I, 3e éd., Berne 2010, n. 5 ad art. 180).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