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AARP/456/2016 vom 11. November 2016</w:t>
      </w:r>
    </w:p>
    <w:p>
      <w:r>
        <w:t>GE Cour de justice, 2016-11-11, FR</w:t>
      </w:r>
    </w:p>
    <w:p>
      <w:r>
        <w:rPr>
          <w:b/>
        </w:rPr>
        <w:t xml:space="preserve">Quelle: </w:t>
      </w:r>
      <w:r>
        <w:t>https://mcp.opencaselaw.ch/entscheid/ge_gerichte_AARP_456_2016</w:t>
      </w:r>
    </w:p>
    <w:p>
      <w:r>
        <w:t>FR: GE_GERICHTE AARP/456/2016 du 11 novembre 2016</w:t>
      </w:r>
    </w:p>
    <w:p>
      <w:r>
        <w:t>IT: GE_GERICHTE AARP/456/2016 del 11 novembre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- 6/15 - P/24526/2014</w:t>
      </w:r>
    </w:p>
    <w:p>
      <w:r>
        <w:t>La Chambre limite son examen aux violations décrites dans l'acte d'appel (art. 404 al. 1 CPP), sauf en cas de décisions illégales ou inéquitables (art. 404 al. 2 CPP).</w:t>
      </w:r>
    </w:p>
    <w:p>
      <w:r>
        <w:rPr>
          <w:b/>
        </w:rPr>
        <w:t>E. 2</w:t>
      </w:r>
    </w:p>
    <w:p>
      <w:r>
        <w:t>Les infractions aux art. 19a, 19 al. 1 LStup et 119 al. 1 LEtr sont réalisées au regard des éléments du dossier, ce que l'appelant ne conteste pas. La matérialité de l'infraction de séjour illégal (art. 115 al. 1 LEtr) n'est plus contestée par l'appelant dans son mémoire motivé du 10 mai 2016. Il est donc réputé l'avoir admise sur le plan de la culpabilité, ce qu'il avait d'ailleurs fait tout le long de la procédure. Le jugement entrepris sera dès lors confirmé sur ces points.</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Le séjour illégal est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w:t>
      </w:r>
    </w:p>
    <w:p>
      <w:r>
        <w:t>- 7/15 - P/24526/2014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r>
        <w:t>3.3.1.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t>3.3.2.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et les références citées).</w:t>
      </w:r>
    </w:p>
    <w:p>
      <w:r>
        <w:rPr>
          <w:b/>
        </w:rPr>
        <w:t>E. 3.4</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w:t>
      </w:r>
    </w:p>
    <w:p>
      <w:r>
        <w:t>- 8/15 - P/24526/2014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t>La jurisprudence admet qu'un travail d'intérêt général puisse être envisagé à l'égard d'un étranger qui bénéficie d'une admission provisoire en Suisse (arrêt du tribunal fédéral 6B_128/2011 du 14 juin 2011 consid. 3.5.3). Par contre, lorsqu'il n'existe déjà au moment du jugement aucun droit de rester en Suisse ou lorsqu'il est établi qu'une décision définitive a été rendue sur son statut en droit des étrangers et qu'il doit quitter la Suisse, le travail d'intérêt général n'est pas la sanction adéquate. Il est exclu (arrêt du Tribunal fédéral 6B_525/2014 du 9 octobre 2014 consid. 2).</w:t>
      </w:r>
    </w:p>
    <w:p>
      <w:r>
        <w:rPr>
          <w:b/>
        </w:rPr>
        <w:t>E. 3.5</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w:t>
      </w:r>
    </w:p>
    <w:p>
      <w:r>
        <w:t>- 9/15 - P/24526/2014 obligatoirement réintégré en cas de condamnation à une peine privative de liberté ferme de plus de trois mois (art. 38 ch. 4 aCP).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1- 110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(ATF 98 Ib 106 consid. 1b p. 107 ; arrêt du Tribunal fédéral 6B_1034/2013 du 31 mars 2014 consid. 2.1). Pour établir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w:t>
      </w:r>
    </w:p>
    <w:p>
      <w:r>
        <w:t>- 10/15 - P/24526/2014 consid. 2.1, 6B_663/2009 du 19 octobre 2009 consid. 1.2 et 6B_303/2007 du</w:t>
      </w:r>
    </w:p>
    <w:p>
      <w:r>
        <w:rPr>
          <w:b/>
        </w:rPr>
        <w:t>E. 6</w:t>
      </w:r>
    </w:p>
    <w:p>
      <w:r>
        <w:t>décembre 2007 consid. 6). 3.6.1. L'appelant a reconnu avoir menti devant le TAPEM. Le mensonge dont il a été l'auteur ne peut toutefois produire les effets que lui a conférés le premier juge. Certes, une telle attitude pour obtenir une décision favorable doit être dénoncée, mais son affirmation mensongère ne saurait pour autant constituer la preuve d'une nouvelle décision d'agir indépendante de la situation précédente, l'intention faisant manifestement défaut. De facto, l'appelant eût-il eu une telle volonté qu'il ne l'a en tout état pas réalisée, dès lors qu'il n'a pas été établi qu'il ait quitté la Suisse durant la période pénale. Le jugement du Tribunal de police doit être réformé sur ce point.</w:t>
      </w:r>
    </w:p>
    <w:p>
      <w:r>
        <w:t>L'examen du casier judiciaire de l'appelant conduit ainsi à constater que l'appelant a globalement déjà purgé plus d'un an de détention pour séjour illégal, de la manière constatée par les instances de jugement de Genève et Fribourg en 2014 et 2016. Par conséquent, le plafond fixé par la jurisprudence est désormais atteint.</w:t>
      </w:r>
    </w:p>
    <w:p>
      <w:r>
        <w:t>L'intimé sera donc exempté de toute peine du chef de séjour illégal. 3.6.2. La faute de l'appelant en matière d'infractions à la LStup et à l'art. 119 LEtr n'est pas négligeable. Il a fait fi des normes en vigueur en matière de législation sur les stupéfiants. Il semble déterminé à ne pas respecter l'interdiction de territoire qui lui a été régulièrement notifiée en la violant sous différents prétextes aussi futiles qu'irrelevants. Son mobile est égoïste. Il y a concours d'infractions, ce qui justifie une augmentation de la peine dans une juste proportion (49 al. 1 CP). Il y a en revanche lieu de tenir compte du concours rétrospectif (art. 49 al. 2 CP). Les antécédents judiciaires de l'appelant sont très nombreux et spécifiques, ce qui démontre qu'il est insensible aux décisions de justice, lesquelles ne sont pas de nature à le dissuader de récidiver, même quand il est confronté à des peines de prison fermes. Le pronostic est d'autant plus défavorable que l'appelant a l'interdiction de se trouver en Suisse et, partant, d'y travailler, ce qui fait persister un important risque de commission de nouvelles infractions. Ainsi, seul le prononcé d'une peine ferme entre en ligne de compte.</w:t>
      </w:r>
    </w:p>
    <w:p>
      <w:r>
        <w:t>- 11/15 - P/24526/2014 Au vu de sa situation administrative en Suisse, sans perspectives d'amélioration apparente, et de l'absence de toute possibilité de gain licite, tant le travail d'intérêt général que la peine pécuniaire sont exclus, de sorte que l'appelant doit être condamné à une peine privative de liberté. Pour les mêmes motifs, il se justifie de révoquer la libération conditionnelle obtenue le 27 octobre 2014, l'appelant ayant commis des infractions à peine quelques mois plus tard (art. 89 al. 1 CP), ses antécédents spécifiques démontrant qu'il n'a nulle intention de cesser ses activités illicites. Seule la commission des présentes infractions sera prise en compte à cet égard, les infractions ayant abouti à l'arrêt de la CPAR du 18 décembre 2014 ayant été commises avant l'octroi de la mesure litigieuse. La décision de cesser de consommer du haschich que prétend avoir prise l'appelant ne peut être considérée sérieusement, celui-ci ayant déjà effectué des déclarations similaires par pur opportunisme, à l'instar des propos tenus devant le TAPEM le 27 octobre 2014, dont il admet aujourd'hui la teneur mensongère. Au vu de ce qui précède, la peine d'ensemble (art. 89 al. 6 CP) de six mois prononcée par les premiers juges sera réduite à deux mois, pour tenir compte de l'exemption de peine concernant l'infraction à l'art. 115 al. 1 let. b LEtr et de la complémentarité, partielle dans un cas, avec deux autres condamnations. 4. L'appelant, qui obtient partiellement gain de cause, sera condamné à la moitié des frais de la procédure d'appel, qui comprennent un émolument de CHF 1'500.-, le solde étant laissé à la charge de l'Etat (art. 428 CPP ; 14 let. e du Règlement fixant le tarif des frais en matière pénale du 22 décembre 2010 [RTFMP ; E 4 10.03]).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w:t>
      </w:r>
    </w:p>
    <w:p>
      <w:r>
        <w:t>L'art 16 al. 2 RAJ prescrit que seules les heures nécessaires à la défense devant les juridictions cantonales sont retenues et sont appréciées en fonction notamment de la</w:t>
      </w:r>
    </w:p>
    <w:p>
      <w:r>
        <w:t>- 12/15 - P/24526/2014 nature, de l'importance et des difficultés de la cause, de la valeur litigieuse, de la qualité du travail fourni et du résultat obtenu. 5.2.2. En l'occurrence, l'indemnisation requise par le défenseur d'office de l'appelant paraît adéquate, de sorte qu'il n'est pas nécessaire de reprendre le détail du poste qui compose son état de frais. Aussi, l'indemnité requise, au tarif de CHF 200.-/heure, sera allouée (CHF 600.-), à laquelle s'ajoutent la majoration forfaitaire de 20% (CHF 120.-) et l'équivalent de la TVA au taux de 8% (CHF 57.60), pour un total de CHF 777.60. * * * * *</w:t>
      </w:r>
    </w:p>
    <w:p>
      <w:r>
        <w:t>- 13/15 - P/24526/2014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