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AARP/456/2015 vom 23. September 2015</w:t>
      </w:r>
    </w:p>
    <w:p>
      <w:r>
        <w:t>GE Cour de justice, 2015-09-23, FR</w:t>
      </w:r>
    </w:p>
    <w:p>
      <w:r>
        <w:rPr>
          <w:b/>
        </w:rPr>
        <w:t xml:space="preserve">Quelle: </w:t>
      </w:r>
      <w:r>
        <w:t>https://mcp.opencaselaw.ch/entscheid/ge_gerichte_AARP_456_2015</w:t>
      </w:r>
    </w:p>
    <w:p>
      <w:r>
        <w:t>FR: GE_GERICHTE AARP/456/2015 du 23 septembre 2015</w:t>
      </w:r>
    </w:p>
    <w:p>
      <w:r>
        <w:t>IT: GE_GERICHTE AARP/456/2015 del 23 settembre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w:t>
      </w:r>
    </w:p>
    <w:p>
      <w:r>
        <w:t>- 8/20 - P/446/2015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115 al. 1 let. b LEtr réprime le comportement de celui qui séjourne illégalement en Suisse, notamment après l'expiration de la durée du séjour non soumis à autorisation ou du séjour autorisé.</w:t>
      </w:r>
    </w:p>
    <w:p>
      <w:r>
        <w:t>Le séjour illégal au sens de l'art. 115 al. 1 let. b LEtr est un délit de durée, un délit continu. L'infraction est achevée au moment où le séjour prend fin (ATF 135 IV 6 consid. 3.2).</w:t>
      </w:r>
    </w:p>
    <w:p>
      <w:r>
        <w:t>Aux termes de l'art. 5 al. 1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w:t>
      </w:r>
    </w:p>
    <w:p>
      <w:r>
        <w:t>Conformément à l'art. 11 al. 1 LEtr, tout étranger peut séjourner en Suisse sans exercer d'activité lucrative pendant trois mois sans autorisation, sauf si la durée fixée dans le visa est plus courte.</w:t>
      </w:r>
    </w:p>
    <w:p>
      <w:r>
        <w:rPr>
          <w:b/>
        </w:rPr>
        <w:t>E. 2.3</w:t>
      </w:r>
    </w:p>
    <w:p>
      <w:r>
        <w:t>L'art. 119 al. 1 LEtr punit d'une peine privative de liberté de trois ans au plus ou d'une peine pécuniaire quiconque enfreint une interdiction de pénétrer dans une région déterminée.</w:t>
      </w:r>
    </w:p>
    <w:p>
      <w:r>
        <w:t>2.4.1. En l'espèce, le jugement entrepris sera confirmé en ce qu'il a reconnu A______ coupable d'infractions à l'art. 19 al. 1 LStup, l'appelant ne contestant plus en appel avoir été en possession de 11 boulettes de cocaïne destinées à la vente au moment de son interpellation le 11 janvier 2015. 2.4.2. Sous l'angle de l'art. 115 al. 1 LEtr, il est encore reproché à l'appelant d'avoir séjourné illégalement en Suisse pendant les périodes allant du 27 mai au 30 juin 2014, ainsi que de fin novembre 2014 jusqu'à son interpellation le 11 janvier 2015. A titre liminaire, il sera relevé qu'en vertu des art. 5 al. 1 et 11 al. 1 LEtr, l'appelant était autorisé à entrer en Suisse et à y séjourner, pour autant qu'il eût été en possession d'une pièce de légitimation reconnue pour le passage de la frontière, qu'il</w:t>
      </w:r>
    </w:p>
    <w:p>
      <w:r>
        <w:t>- 9/20 - P/446/2015 n'y exerçât pas d'activité lucrative et que la durée de son séjour ne dépassât pas trois mois. Au moment de son interpellation en 2013, l'appelant était en possession d'une carte de séjour du Portugal dont l'authenticité, contrairement à celle du passeport guinéen saisi par le MP dans le cadre de la procédure P/5______, n'a pas pu être remise en cause par la procédure. Il est vrai que, ainsi qu'A______ l'a expliqué, la carte de résident a été établie sur la base du passeport susmentionné, lequel fait actuellement l'objet de la procédure dans laquelle l'appelant est prévenu de faux dans les titres. L'examen par la BTPS a permis prima facie de révéler une altération de ce document d'identité. Il n'en demeure pas moins qu'il n'est pas établi à ce jour que ledit passeport contient des informations erronées. Au demeurant, l'existence éventuelle d'un faux ne pourra être démontrée qu'au terme de la procédure susmentionnée, laquelle se trouve actuellement toujours en phase d'instruction. Ainsi n'est-il pas possible d'affirmer aujourd'hui, sauf à violer le principe de la présomption d'innocence, que ledit passeport constitue un faux. Dans le même sens, la carte de résident dont l'appelant était en possession au moment de son interpellation doit être considérée comme authentique, en tant qu'elle a été délivrée sur la base d'un document lui aussi véridique. Il reste à déterminer si, muni d'une pièce l'autorisant à pénétrer sur le sol helvétique, A______ y a séjourné plus que les trois mois pendant lesquels il était autorisé à y demeurer. Certes, l'appelant a admis dans un premier temps ne pas avoir interrompu son séjour depuis son arrivée en Suisse en 2009. Il est toutefois revenu sur ses déclarations par la suite, les qualifiant d'inexactes. Il a confirmé avoir réalisé de fréquents déplacements au Portugal durant cette période, ce qui l'a conduit à ne pas séjourner plus de deux mois en Suisse. Au demeurant, seules deux périodes en 2014- 2015 sont susceptibles de fonder sa culpabilité dans la présente cause. Ses arrestations répétées et à court intervalle, ajoutées à la présence d'une partie de sa famille au Portugal, ne permettent pas d'exclure la version des faits soutenue par l'appelant. Ainsi, même s'il appert que l'appelant n'a pas été toujours constant dans ses déclarations, en l'absence d'éléments permettant de démontrer le contraire, il subsiste un doute sérieux et insurmontable quant au fait qu'il aurait séjourné en Suisse en 2014 pendant une durée supérieure aux trois mois prescrits par l'art. 11 al. 1 LEtr. Par voie de conséquence, et dans la mesure où il ne ressort pas du dossier que l'appelant aurait exercé une quelconque activité lucrative lors de ses séjours en Suisse, il était autorisé à y séjourner sur la base de l'art. 11 al. 1 LEtr. Il ne s'est ainsi pas rendu coupable d'infraction à l'art. 115 al. 1 LEtr. Le jugement entrepris sera dès lors réformé sur ce point.</w:t>
      </w:r>
    </w:p>
    <w:p>
      <w:r>
        <w:t>- 10/20 - P/446/2015 2.4.3. S'agissant des faits survenus le 29 novembre 2014, l'appelant s'est rendu compte en appel du défaut de crédibilité de ses déclarations. Il a admis implicitement sa culpabilité de ce chef d'infraction, ce qui correspond à la matérialité des faits. Au vu de ce qui précède, l'appelant sera reconnu coupable d'infraction à l'art. 119 al. 1 LEtr. Le jugement entrepris sera donc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A teneur de l'art. 42 al. 2 CP, il ne peut y avoir de sursis si, durant les cinq ans qui précèdent l'infraction, l'auteur a été condamné à une peine privative de liberté ferme ou avec sursis de six mois au moins ou à une peine pécuniaire de 180 jours- amende au moins, sauf en cas de circonstances particulièrement favorables,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t>- 11/20 - P/446/2015</w:t>
      </w:r>
    </w:p>
    <w:p>
      <w:r>
        <w:t>3.1.3. Si, durant le délai d'épreuve, le détenu libéré conditionnellement commet un crime ou un délit, le juge qui connaît de la nouvelle infraction ordonne sa réintégration dans l'établissement (art. 89 al. 1 CP). Selon l'article 89 al. 2 CP, le juge peut renoncer à réintégrer dans l'établissement de détention le détenu libéré conditionnellement ayant commis un nouveau crime ou délit, s'il n'y a pas lieu de craindre que celui-ci commette d'autres infractions.</w:t>
      </w:r>
    </w:p>
    <w:p>
      <w:r>
        <w:t>L'échec de la mise à l'épreuve au sens de l'article 89 al. 2 CP suppose la commission d'un crime ou d'un délit, laissant présager que le détenu libéré conditionnellement ne s'en tiendrait pas là. Un tribunal doit décider de la réintégration en procédant à une « projection comportementale dans l'avenir », excluant une « infraction accidentelle » comme indice d'échec (FF 1998 1929).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DUPUIS/B. GELLER/G. MONNIER/L. MOREILLON/C. PIGUET/ C. BETTEX/D. STOLL (éds), Code Pénal, Petit commentaire, n. 13 ad art. 89). La décision du juge constitue une "Mussvorschrift" à l'instar de celle qui prévaut à l'art. 89 al. 2 CP (R. ROTH/L. MOREILLON (éds), Code pénal I : art. 1-100 CP, Bâle 2009, n. 16 ad art. 89). 3.1.4.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w:t>
      </w:r>
    </w:p>
    <w:p>
      <w:r>
        <w:t>- 12/20 - P/446/2015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3.1.5.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3.1.6. En cas de révocation du sursis, la loi ne prévoit pas la possibilité de prononcer une peine d'ensemble lorsque les sanctions pour les anciennes et les nouvelles</w:t>
      </w:r>
    </w:p>
    <w:p>
      <w:r>
        <w:t>- 13/20 - P/446/2015 infractions sont de même nature. Un tel régime, pourtant prévu dans le projet du Conseil fédéral, a finalement été supprimé au moment des débats parlementaires, sans indication de motifs (M. NIGGLI/H. WIPRÄCHTIGER, Basler Kommentar, Strafrecht I, 3e éd., 2013, n. 37 ad art. 46). Ce nonobstant, la doctrine a préconisé par le passé qu'une peine d'ensemble puisse être prononcée sur la base de l'art. 46 al. 2 CP, par une application analogique de l'art. 49 CP, afin d'éviter que des prévenus encourant des peines de même nature ne soient discriminés par rapport à ceux encourant des peines de nature différente (M. NIGGLI/H. WIPRÄCHTIGER, Basler Kommentar, Strafrecht I, 2e éd., 2007, n. 31 ad art. 46 ; R. ROTH/L. MOREILLON, Commentaire romand, 1e éd., 2009, n. 13 s. ad art. 46). Une telle approche a été rejetée par le Tribunal fédéral, pour qui la fixation d'une peine d'ensemble par application analogique de l'art. 49 CP n'entre pas en considération si la peine assortie du sursis révoqué et celle nouvellement prononcée sont du même genre (ATF 134 IV 241 consid. 4.3 et 4.4). Les auteurs ont dès lors pris acte de cette jurisprudence et regretté qu'une telle inégalité de traitement puisse perdurer, tout en faisant remarquer que ce problème pourrait éventuellement être corrigé dans le cadre des révisions législatives à venir, notamment celle portant sur la suppression des peines pécuniaires et du travail d'intérêt général avec sursis (M. NIGGLI/H. WIPRÄCHTIGER, Basler Kommentar, Strafrecht I, 3e éd., 2013, n. 37 ad art. 46). 3.2.1. En l'espèce, la faute de l'appelant est moyennement grave. Il s'est rendu coupable d'infractions pour lesquelles il avait déjà été condamné par le passé, ce qui constitue des récidives spécifiques qui démontrent le caractère tout relatif de sa prise de conscience. Sa collaboration à la procédure a été relativement bonne, plus particulièrement en procédure d'appel. S'il est vrai qu'il a commencé par tergiverser, il est peu à peu revenu sur ses déclarations et a fini par admettre l'intégralité des faits qui lui étaient reprochés en matière de LStup. L'appelant ne peut se prévaloir d'aucune des circonstances atténuantes de l'art. 48 CP, le caractère précaire de sa situation administrative n'en constituant pas une. Il y a par ailleurs concours réel au sens de l'art. 49 al. 1 CP, ce qui justifie une augmentation de la peine dans une juste proportion. Par voie de conséquence, l'appelant sera condamné à une peine privative de liberté en raison des nouvelles infractions, seule une peine sans sursis apparaissant adéquate au vu des éléments qui précèdent et des circonstances qui n'apparaissent pas particulièrement favorables au regard des exigences légales. 3.2.2. Dans la mesure où l'appelant a commis des nouveaux délits dans le délai d'épreuve d'un an qui lui avait été fixé par le TAPEM au moment de l'octroi de sa</w:t>
      </w:r>
    </w:p>
    <w:p>
      <w:r>
        <w:t>- 14/20 - P/446/2015 libération conditionnelle le 26 mai 2014, il y a lieu de se pencher sur son éventuelle réintégration. L'appelant a récidivé à peine un mois après avoir bénéficié d'une libération conditionnelle, en vendant des petites quantités de cocaïne à six reprises, puis en janvier 2015, autant d'infractions qui ne peuvent être qualifiées d'"accidentelles" et qui constituent des récidives spécifiques par rapport à ses précédentes condamnations de 2012 et 2013. Au vu de ces éléments, la peine à prononcer pour les seuls faits de la présente cause ne semble pas suffire à l'empêcher de se détourner du droit chemin et il y a fortement lieu de redouter que l'appelant ne commette de nouvelles infractions. Le pronostic apparaît dès lors sous un jour défavorable de sorte qu'il se justifie de confirmer la révocation de la libération conditionnelle prononcée par le premier juge. Conformément à l'art. 89 al. 6 CP, les conditions d'une peine privative de liberté étant réunies s'agissant des nouvelles infractions, et celle-ci entrant en concours avec le solde de 4 mois et 7 jours devenu exécutoire compte tenu de la révocation de la libération conditionnelle, l'appelant sera condamné à une peine d'ensemble. Celle-ci sera arrêtée à 9 mois, afin de prendre en compte notamment son acquittement partiel intervenu en appel. Le jugement sera ainsi réformé sur ce point. 3.2.3. Le raisonnement doit en revanche être différent concernant la révocation du sursis octroyé le 11 avril 2012 par le MP à la peine privative de liberté de 6 mois. Si, ainsi qu'il l'a été relevé, la peine à prononcer à raison des nouvelles infractions ne semble pas à elle seule avoir un effet dissuasif suffisant permettant d'éviter que l'appelant ne commette de nouvelles infractions, tel ne semble plus être le cas une fois prises en compte sa réintégration et sa condamnation à une peine d'ensemble de neuf mois. Le fait que l'appelant purgera désormais une peine privative de liberté plus conséquente du fait de la révocation de la libération conditionnelle permet ainsi, au moment de se déterminer sur l'opportunité d'une révocation du sursis antérieur, de faire apparaitre le pronostic sous un jour plus favorable qu'il ne se présentait au moment de l'examen de l'opportunité de la révocation de la libération conditionnelle. S'appuyant sur la jurisprudence du Tribunal fédéral qui impose de procéder à un double examen de l'existence d'un pronostic favorable, la CPAR estime ainsi qu'il ne se justifie pas de révoquer le sursis de 2012, ce d'autant moins qu'une révocation conduirait à une peine globale franchement disproportionnée de 15 mois pour des infractions de moyenne importance. Le jugement entrepris sera dès lors réformé sur ce point.</w:t>
      </w:r>
    </w:p>
    <w:p>
      <w:r>
        <w:t>- 15/20 - P/446/2015</w:t>
      </w:r>
    </w:p>
    <w:p>
      <w:r>
        <w:rPr>
          <w:b/>
        </w:rPr>
        <w:t>E. 4.1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w:t>
      </w:r>
    </w:p>
    <w:p>
      <w:r>
        <w:t>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MOREILLON/A. PAREIN-REYMOND, CPP, Code de procédure pénale, Bâle 2013, n. 6 ad art. 426 CPP).</w:t>
      </w:r>
    </w:p>
    <w:p>
      <w:r>
        <w:rPr>
          <w:b/>
        </w:rPr>
        <w:t>E. 4.2</w:t>
      </w:r>
    </w:p>
    <w:p>
      <w:r>
        <w:t>En l'espèce, l'appelant est acquitté du chef d'infraction à l'art. 115 al. 1 LEtr mais voit sa condamnation confirmée s'agissant des deux autres infractions (art. 19 al. 1 LStup et 119 al. 1 LEtr). Il obtient par ailleurs gain de cause en lien avec le sursis octroyé le 11 avril 2012 par le Ministère public, celui-ci n'étant finalement pas révoqué. Il succombe donc partiellement. L'appelant supportera la moitié des frais de la procédure d'appel, qui comprennent dans leur totalité un émolument de CHF 1'500.- (art. 14 al. 1 let. e RTFMP), et les quatre cinquièmes des frais de la procédure de première instance. Le solde de ces frais sera laissé à la charge de l'Etat.</w:t>
      </w:r>
    </w:p>
    <w:p>
      <w:r>
        <w:rPr>
          <w:b/>
        </w:rPr>
        <w:t>E. 5</w:t>
      </w:r>
    </w:p>
    <w:p>
      <w:r>
        <w:t>5.1.1.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w:t>
      </w:r>
    </w:p>
    <w:p>
      <w:r>
        <w:t>- 16/20 - P/446/2015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5.1.2.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w:t>
      </w:r>
    </w:p>
    <w:p>
      <w:r>
        <w:t>- 17/20 - P/446/2015 d'exceptions possibles, pour des documents particulièrement volumineux ou nécessitant un examen poussé, charge à l'avocat d'en justifier.</w:t>
      </w:r>
    </w:p>
    <w:p>
      <w:r>
        <w:rPr>
          <w:b/>
        </w:rPr>
        <w:t>E. 5.2</w:t>
      </w:r>
    </w:p>
    <w:p>
      <w:r>
        <w:t>En l'espèce, A______ a été mis au bénéfice de l'assistance judiciaire, sa défense d'office ayant été assurée par Me B______ depuis le 29 juin 2015. L'état de frais présenté par Me B______ pour l'activité déployée en procédure d'appel est composé de 10 heures d'activité de chef d'étude et de 4 heures d'activité de collaborateur. Les 5 heures et 30 minutes consacrées à la préparation de l'audience devant la CPAR paraissent excessives et seront donc réduites d'une heure. Le poste "Audiences" sera arrêté à 1 heure et 30 minutes, afin de prendre en compte la durée effective des audiences des 17 et 23 septembre 2015. Pour le surplus, l'activité déployée par Me B______ et son collaborateur est en adéquation avec la nature, l'importance, et la difficulté de la cause. Par conséquent, l'état de frais est admis à concurrence de 9 heures et 30 minutes d'activité de chef d'étude et de 4 heures d'activité de collaborateur. Il convient d'y ajouter l'indemnisation forfaitaire de 20%. L'indemnisation requise sera ainsi accordée à hauteur de CHF 2'880.- (TVA à 8% en sus de CHF 230.40). * * * * *</w:t>
      </w:r>
    </w:p>
    <w:p>
      <w:r>
        <w:t>- 18/20 - P/446/2015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