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AARP/455/2016 vom 9. November 2016</w:t>
      </w:r>
    </w:p>
    <w:p>
      <w:r>
        <w:t>GE Cour de justice, 2016-11-09, FR</w:t>
      </w:r>
    </w:p>
    <w:p>
      <w:r>
        <w:rPr>
          <w:b/>
        </w:rPr>
        <w:t xml:space="preserve">Quelle: </w:t>
      </w:r>
      <w:r>
        <w:t>https://mcp.opencaselaw.ch/entscheid/ge_gerichte_AARP_455_2016</w:t>
      </w:r>
    </w:p>
    <w:p>
      <w:r>
        <w:t>FR: GE_GERICHTE AARP/455/2016 du 9 novembre 2016</w:t>
      </w:r>
    </w:p>
    <w:p>
      <w:r>
        <w:t>IT: GE_GERICHTE AARP/455/2016 del 9 novembre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à savoir notamment la quotité de la peine (let. b) et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2.1.1. L'infraction grave à la loi fédérale sur les stupéfiants (art. 19 al. 2 LStup) est réprimée d'une peine privative de liberté d'un an au moins, cette sanction pouvant être cumulée avec une peine pécuniaire. L'infraction à l'art. 115 al. 1 let. a LEtr est quant à elle punit d'une peine privative de liberté d'un an au plus ou d'une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w:t>
      </w:r>
    </w:p>
    <w:p>
      <w:r>
        <w:t>- 6/12 - P/6453/2016 les autorités policières ou judiciaires (ATF 121 IV 202 consid. 2d/aa p. 204 ; 118 IV 342 consid. 2d p. 349). 2.1.3. En matière de trafic de stupéfiants, il y a lieu de tenir compte, plus spécialement, des circonstances suivantes (arrêt du Tribunal fédéral 6B_843/2014 du</w:t>
      </w:r>
    </w:p>
    <w:p>
      <w:r>
        <w:rPr>
          <w:b/>
        </w:rPr>
        <w:t>E. 2.2</w:t>
      </w:r>
    </w:p>
    <w:p>
      <w:r>
        <w:t>En l'espèce, la faute de l'appelante est sérieuse. Elle est impliquée dans un trafic de cocaïne à ramification internationale, endossant il est vrai un rôle de simple passeur. Quel que fût le degré de pureté, elle a, selon ses propres dires, imaginé transporter une quantité importante de drogue, compte tenu du montant qui lui était promis. Elle a fait un long voyage depuis l'Espagne, sans jamais renoncer, ce qui démontre une volonté délictuelle affirmée. Le mobile, égoïste, était celui d'un gain le plus rapide possible. L’appelante a tendance à ne pas assumer la pleine responsabilité de son acte, se présentant comme une victime des circonstances, de sorte qu’elle doit encore travailler sur le chemin de la prise de conscience. Sa collaboration peut être qualifiée de bonne, compte tenu des renseignements donnés sur son fournisseur, sans être extraordinaire. Il y a concours d'infractions entre les art. 19 LStup et 115 LEtr. Elle souffrait certes d'une situation personnelle difficile, sans que cela ne justifie le recours à des actes de cette nature. Elle était d'ailleurs bien placée pour le savoir, eu égard à ses antécédents. Les premiers juges pouvaient tenir compte d'une condamnation radiée de son casier judiciaire - gardant à l'esprit qu'elle était partant ancienne - pour apprécier sa personnalité et sa sensibilité à la sanction. Elle a fait preuve de désinvolture face à la législation sur le statut des étrangers et à la mesure qui la frappe pour séjour illégal, en revenant à deux reprises sur le territoire helvétique. Aucune des circonstances atténuantes prévues par l'art. 48 CP n'est réalisée ni d'ailleurs plaidée, notamment pas celle de la détresse profonde, étant rappelé que cette circonstance est réalisée lorsque l'auteur est poussé à transgresser la loi pénale par une situation proche de l'état de nécessité (arrêt du Tribunal fédéral 6B-13/2009 du 9 février 2009 consid. 4.1. avec référence à l'ATF 110 IV 9 consid. 2 p. 10). Compte tenu du bien juridique lésé par la LStup, soit la santé publique, ce n'est qu'en présence de circonstances tout à fait exceptionnelles que les difficultés financières</w:t>
      </w:r>
    </w:p>
    <w:p>
      <w:r>
        <w:t>- 8/12 - P/6453/2016 rencontrées par un auteur peuvent être prises en considération (arrêt du Tribunal fédéral 6S.496/2006 du 19 juin 2007 consid. 3 in fine). En l'occurrence, l'urgence vitale de la situation du fils de l'appelante, quel que soit son âge réel, n'est démontrée par aucune pièce, l'attestation produite ne faisant état que de sa séropositivité. D'ailleurs, il ne semble pas avoir subi une dégradation de son état de santé malgré l'incapacité de sa mère de l'aider, vu son arrestation. L'appelante ne réunit pas les conditions permettant d'obtenir le sursis, fût-il partiel, ce qu'elle ne soutient au demeurant plus en audience d'appel, de sorte que seule une peine privative de liberté ferme entre en considération. Pour tous ces motifs, la peine privative de liberté de trois ans prononcée en première instance est adéquate et sera confirmée. 3. Les motifs ayant conduit les premiers juges à prononcer, par ordonnance séparée du 6 juillet 2016, le maintien de l'appelante, en détention pour des motifs de sûreté sont toujours d'actualité, ce que celle-ci ne conteste au demeurant pas, de sorte que la mesure sera reconduite mutatis mutandis (ATF 139 IV 277 consid. 2.2 à 2.3). 4. L'appelante, qui succombe, supportera les frais de la procédure envers l'Etat, qui comprennent un émolument de jugement de CHF 1'500.- (art. 428 al. 1 CPP et art. 14 al. 1 let. e du Règlement fixant le tarif des frais en matière pénale [RTFMP ; E 4 10.03]).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chef d'étude CHF 200.- (let. c).</w:t>
      </w:r>
    </w:p>
    <w:p>
      <w:r>
        <w:t>5.2.2. À teneur de la jurisprudence, est décisif pour fixer la rémunération de l'avocat, le nombre d'heures nécessaires pour assurer la défense d'office du prévenu (arrêt du</w:t>
      </w:r>
    </w:p>
    <w:p>
      <w:r>
        <w:t>- 9/12 - P/6453/2016 Tribunal fédéral 2C_509/2007 du 19 novembre 2007 consid. 4). Pour fixer cette indemnité, l'autorité doit notamment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(arrêt du Tribunal fédéral 6B_810/2010 du 25 mai 2011 consid. 2 et les références citées). 5.2.3. Dans le cas des prévenus en détention provisoire, le temps considéré admissible pour les visites dans les établissements du canton est d'une heure pour les avocats-stagiaires, ce qui comprend le temps de déplacement (AARP/235/2015 du 18 mai 2015 ; AARP/480/2014 du 29 octobre 2014).</w:t>
      </w:r>
    </w:p>
    <w:p>
      <w:r>
        <w:t>5.2.4.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w:t>
      </w:r>
    </w:p>
    <w:p>
      <w:r>
        <w:t>5.2.5. Le temps de déplacement de l'avocat est considéré comme nécessaire pour la défense d'office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A Genève, la rémunération forfaitaire de la vacation aller/retour (soit 30 minutes au total) au et du Palais de justice est arrêtée à CHF 20.- pour les avocats stagiaires (AARP/412/2016 du 17 octobre 2016 consid. 5.2.4.)</w:t>
      </w:r>
    </w:p>
    <w:p>
      <w:r>
        <w:t>5.3. En l'occurrence, l'état de frais présenté fait mention de deux rendez-vous de 90 minutes à Champ-Dollon pour l'avocate-stagiaire. Ils seront réduits à une heure chacun selon le tarif applicable, déplacement inclus. La vacation au Palais de justice pour l'audience d'appel sera arrêtée forfaitairement à CHF 20.-.</w:t>
      </w:r>
    </w:p>
    <w:p>
      <w:r>
        <w:t>5.4. L'indemnité sera fixée à CHF 1'303.- correspondant à 12 heures d'activité au tarif applicable aux avocats-stagiaires plus vacation à CHF 20.-, une heure et demie au tarif de chef d'étude, majoration forfaitaire de 10% et l'équivalent de la TVA au taux de 8% en CHF 95.- inclus. * * * * *</w:t>
      </w:r>
    </w:p>
    <w:p>
      <w:r>
        <w:t>- 10/12 - P/6453/2016</w:t>
      </w:r>
    </w:p>
    <w:p>
      <w:r>
        <w:rPr>
          <w:b/>
        </w:rPr>
        <w:t>E. 7</w:t>
      </w:r>
    </w:p>
    <w:p>
      <w:r>
        <w:t>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(Arrêt 6B_908/2008 du 5 février 2009 ;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w:t>
      </w:r>
    </w:p>
    <w:p>
      <w:r>
        <w:t>- 7/12 - P/6453/2016 utilisées pour l'appréciation de la peine ou l'octroi du sursis dans le cadre d'une nouvelle procédure pénale (ATF 135 IV 87 consid. 2 p. 89 ; Arrêt 6B_494/2011 du 4 octobre 2011). Les antécédents judiciaires ne sauraient toutefois conduire à une augmentation massive de la peine, parce que cela reviendrait à condamner une deuxième fois pour des actes déjà jugés (ATF 120 IV 136 consid. 3b p. 145). 2.1.5. D'après l'art. 49 al. 1 CP, si, en raison d'un ou de plusieurs actes, l'auteur remplit les conditions de plusieurs peines de même genre, le juge le condamne à la peine de l'infraction la plus grave et l'augmente dans une juste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