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AARP/452/2015 vom 15. Oktober 2015</w:t>
      </w:r>
    </w:p>
    <w:p>
      <w:r>
        <w:t>GE Cour de justice, 2015-10-15, FR</w:t>
      </w:r>
    </w:p>
    <w:p>
      <w:r>
        <w:rPr>
          <w:b/>
        </w:rPr>
        <w:t xml:space="preserve">Quelle: </w:t>
      </w:r>
      <w:r>
        <w:t>https://mcp.opencaselaw.ch/entscheid/ge_gerichte_AARP_452_2015</w:t>
      </w:r>
    </w:p>
    <w:p>
      <w:r>
        <w:t>FR: GE_GERICHTE AARP/452/2015 du 15 octobre 2015</w:t>
      </w:r>
    </w:p>
    <w:p>
      <w:r>
        <w:t>IT: GE_GERICHTE AARP/452/2015 del 15 ottobre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300 al. 3 CPP par analogie) et devant l'autorité compétente (art. 42 al. 2 LaCP), l'appel est recevable.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w:t>
      </w:r>
    </w:p>
    <w:p>
      <w:r>
        <w:t>- 5/6 - PM/899/2015 risque que fait courir une libération conditionnelle à autrui (ATF 124 IV 193 consid. 3 et 4d p. 194 et 198 ; A. KUHN / L. MOREILLON / B. VIREDAZ / A. BISCHOFSKY, La nouvelle partie générale du Code pénal suisse, Berne 2006, p. 361, S. TRECHSEL, op. cit., n. 8-9 ad art. 86).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de l'octroi de la libération conditionnelle est réalisée depuis le 26 septembre 2015. S'agissant de la condition subjective, il est vrai qu'on se trouve dans un cas limite, même en faisant abstraction du préavis défavorable de Champ-Dollon, les explications fournies par l'appelant n'étant pas dépourvues de fondement au vu de la violence de l'agression subie. L'appelant a des antécédents. Il reste que les trois condamnations concernent, partiellement pour la première et exclusivement pour les deux dernières, des violations de la LEtr inhérentes à un défaut de papiers de légitimation. Il s'ensuit que le risque de commission d'infractions d'une autre nature n'est pas significatif, la violation de la LCR pour une ivresse en tant que piéton n'autorisant pas une autre conclusion. Il est en tout état douteux que le seul risque de violation des règles sur le séjour des étrangers puisse faire échec à la libération conditionnelle. Au demeurant, l'appelant en est à sa première demande de ce type, ce qui n'a pas échappé au SAPEM qui a fourni un préavis positif. C'est en définitive la première fois que l'appelant est confronté à une longue période de détention, ce qui peut l'avoir amené à une réflexion approfondie sur l'échec de son séjour prolongé en Suisse. Certes, ses projets d'avenir sont peu étayés, encore qu'il est difficile d'avoir des exigences trop fortes pour un résident en Suisse dont le seul document d'identité est une "non-entrée en matière". L'affirmation selon laquelle l'appelant n'entend plus vivre dans l'illégalité après avoir subi plusieurs mois de détention est relativement probante, nonobstant des projets non documentés. Dans ces circonstances, il convient d'octroyer à l'appelant la libération conditionnelle, sans qu'il ne soit nécessaire de différer sa sortie au regard des circonstances, l'appelant pouvant franchir la frontière par ses propres moyens. Il a été au demeurant dûment informé que toute prolongation de son séjour en Suisse lui faisait prendre le risque d'une nouvelle interpellation en situation irrégulière. Le jugement dont est appel sera revu dans cette mesure et les frais de la procédure laissés à la charge de l'État. * * * * *</w:t>
      </w:r>
    </w:p>
    <w:p>
      <w:r>
        <w:t>- 6/6 - PM/899/2015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