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AARP/44/2023 vom 10. Januar 2023</w:t>
      </w:r>
    </w:p>
    <w:p>
      <w:r>
        <w:t>GE Cour de justice, 2023-01-10, FR</w:t>
      </w:r>
    </w:p>
    <w:p>
      <w:r>
        <w:rPr>
          <w:b/>
        </w:rPr>
        <w:t xml:space="preserve">Quelle: </w:t>
      </w:r>
      <w:r>
        <w:t>https://mcp.opencaselaw.ch/entscheid/ge_gerichte_AARP_44_2023</w:t>
      </w:r>
    </w:p>
    <w:p>
      <w:r>
        <w:t>FR: GE_GERICHTE AARP/44/2023 du 10 janvier 2023</w:t>
      </w:r>
    </w:p>
    <w:p>
      <w:r>
        <w:t>IT: GE_GERICHTE AARP/44/2023 del 10 gennaio 2023</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t>- 5/16 - P/7551/2018</w:t>
      </w:r>
    </w:p>
    <w:p>
      <w:r>
        <w:rPr>
          <w:b/>
        </w:rPr>
        <w:t>E. 1.2</w:t>
      </w:r>
    </w:p>
    <w:p>
      <w:r>
        <w:t>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 133 III 201 consid. 4.2 ; 131 III 91 consid. 5.2 et les références ; arrêts 9C_452/2018 du 25 janvier 2019 consid. 1.1 ; 5A_461/2018 du 26 octobre 2018 consid. 2.1 ; 5A_785/2015 du 8 février 2016 consid. 2 et les références). Ce principe connaît toutefois une exception, dans les limite de l'interdiction de la reformatio in pejus, pour des points qui n'ont pas été attaqués ou ne l'ont pas été valablement, mais qui sont intimement liés à ceux sur lesquels le recours a été admis (ATF 117 IV 97 consid. 4b p. 104 ss.).</w:t>
      </w:r>
    </w:p>
    <w:p>
      <w:r>
        <w:rPr>
          <w:b/>
        </w:rPr>
        <w:t>E. 1.3</w:t>
      </w:r>
    </w:p>
    <w:p>
      <w:r>
        <w:t>En l'espèce, le TF a précisé qu'une distinction devait être apportée à l'arrêt de la Cour du 7 septembre 2021 en ce sens que la condamnation de l'appelant pour faux dans les titres, confirmée, ne portait pas sur les contrats de bail mensongers, ceux-ci ne bénéficiant pas d'une force probante accrue. Il a ainsi renvoyé la cause à la CPAR pour nouvelle décision sur la question de la peine, des frais et des dépens de la procédure cantonale.</w:t>
      </w:r>
    </w:p>
    <w:p>
      <w:r>
        <w:rPr>
          <w:b/>
        </w:rPr>
        <w:t>E. 2</w:t>
      </w:r>
    </w:p>
    <w:p>
      <w:r>
        <w:t>2.1.1. L'infraction de faux dans les titres est sanctionnée par une peine privative de liberté de cinq ans au plus ou d'une peine pécuniaire. 2.1.2. Les nouvelles dispositions sur le droit des sanctions sont entrées en vigueur le 1er janvier 2018. En l'espèce, l'ancienne teneur de l'art. 34 aCP, prévoyant la possibilité de prononcer une peine pécuniaire de 360 jours-amende au plus, est plus favorable à l'appelant dans l'hypothèse où ce genre de peine devait être choisi, en vertu du principe de la lex mitior (art. 2 al. 2 CP). 2.1.3.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- 6/16 - P/7551/2018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2.1.4. Le choix de la sanction doit être opéré en tenant compte au premier chef de l'adéquation de la peine, de ses effets sur l'auteur et sur sa situation sociale ainsi que de son efficacité du point de vue de la prévention (ATF 144 IV 313 consid. 1.1.1). 2.1.5. 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2.1.6. La durée de la peine privative de liberté est, en principe, de six mois au moins et de 20 ans au plus (art. 40 CP). 2.1.7. Le juge suspend en règle générale l'exécution d'une peine pécuniaire ou d'une peine privative de liberté de six mois au moins et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 2.1.8.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à savoir la diminution de l'intérêt à punir en raison de l'effet guérisseur du temps écoulé. Il faut également tenir compte qu'en se comportant bien pendant un temps relativement long, l'auteur reconnaît à nouveau l'ordre juridique, de sorte que la nécessité de punir</w:t>
      </w:r>
    </w:p>
    <w:p>
      <w:r>
        <w:t>- 7/16 - P/7551/2018 diminue (ATF 140 IV 145 consid. 3.1 p. 148 ; 132 IV 1 consid. 6.1.1 p. 2). La jurisprudence admet donc qu'il s'est écoulé un temps relativement long au sens de l'art. 48 let. e CP lorsque la poursuite pénale est près d'être acquise (ATF 102 IV 198 consid. 5 p. 209 ; 92 IV 201 consid. b p. 202 s.), étant précisé que les délais spéciaux, plus courts, ne s'appliquent pas (art. 109, 118 al. 4 et 178 al. 1 CP ; ATF 132 IV 1 consid. 6.1.1. p. 2 ; 92 IV 201 = JdT 1967 IV 44 ; 89 IV 3 = JdT 1963 IV 36 ; arrêt du Tribunal fédéral 6B_395/2009 du 20 octobre 2009 consid. 6.6.3). Cette condition est en tout cas réalisée lorsque les deux tiers du délai de prescription de l'action pénale sont écoulés. Le juge peut toutefois réduire ce délai pour tenir compte de la nature et de la gravité de l'infraction (ATF 140 IV 145 consid. 3.1 p. 148 ; 132 IV 1 consid. 6.2 p. 2). Le juge doit se référer à la date à laquelle les faits ont été souverainement établis, soit, en cas d'appel, le moment où le jugement de seconde instance a été rendu (ATF 140 IV 145 consid. 3.1 p. 148 ; 132 IV 1 consid. 6.2.1 p. 4 ; arrêt du Tribunal fédéral 6B_664/2015 du 18 septembre 2015 consid. 1.1).</w:t>
      </w:r>
    </w:p>
    <w:p>
      <w:r>
        <w:rPr>
          <w:b/>
        </w:rPr>
        <w:t>E. 2.2</w:t>
      </w:r>
    </w:p>
    <w:p>
      <w:r>
        <w:t>En l'espèce, la faute de l'appelant est lourde. L'appelant a agi par pur appât du gain, dans une logique de rentabilité accrue des immeubles visés par la procédure au moyen de procédés illicites. Il s'est montré totalement indifférent à la situation concrète des locataires qu'il a trompés et lésés, dont certains étaient des travailleurs modestes. Il a même affiché, dans ses échanges avec la régie, un profond dédain à l'égard de plusieurs d'entre eux. Son comportement doit être tenu pour d'autant plus répréhensible qu'il exerçait la profession d'avocat. La période pénale est très longue, soit plus de huit ans, ce qui démontre une volonté délictuelle intense. L'intéressé avait à tout moment le moyen de mettre fin à ses agissements, ce qu'il n'a pas fait. Au contraire, il a agi de manière répétée et systématique, à chaque relocation d'appartements, nonobstant les mises en garde de la régie en 2010 déjà et la procédure intentée par I______ en 2016. Il a malgré cela persisté dans ses agissements, lesquels n'ont pris fin que lorsqu'ils ont été dénoncés à la Commission du Barreau puis au MP, en 2018. Il y a concours d'infractions (art. 49 al. 1 CP) entre les différentes occurrences de faux dans les titres en lien avec les formules officielles dont il s'est rendu coupable – facteur d'aggravation de la peine. Sa situation personnelle, confortable, malgré le litige l'opposant à ses anciens associés, n'explique en rien ni n'excuse son comportement. L'absence d'antécédents est un facteur neutre sur la fixation de sa peine. Sa collaboration à la procédure a été bonne au début puis particulièrement mauvaise. Actuellement, sa prise de conscience apparaît quasiment nulle. S'il a ainsi initialement admis les faits, il a ensuite nié l'évidence, fourni des explications</w:t>
      </w:r>
    </w:p>
    <w:p>
      <w:r>
        <w:t>- 8/16 - P/7551/2018 variables et n'a pas hésité à rejeter la faute sur ses employés pour se soustraire à ses responsabilités. Il persiste encore dans la présente procédure à plaider son acquittement, alors que ce point a été définitivement tranché par le TF, ce qui ne manque pas d'interpeller. Son manque de collaboration et son absence de prise de conscience excluent tout repentir sincère au sens de l'art. 48 let. d CP. L'appelant ne plaide d'ailleurs à juste titre plus cette circonstance atténuante. Les conditions de l'art. 48 let. e CP ne sont pas non plus réalisées pour les occurrences les plus anciennes de faux dans les titres, l'appelant ayant récidivé jusqu'en 2017. Au vu des éléments qui précèdent, seule une peine privative de liberté entre en considération, afin d'assurer un but de prévention spéciale, ce d'autant que l'appelant est toujours actif professionnellement, y compris dans la gestion d'immeubles pour le compte de clients. Il convient néanmoins de tenir compte du fait que l'appelant a réalisé moins de faux intellectuels dans les titres qu'initialement retenus par la Cour, les contrats de bail mensongers litigieux ne constituant pas des faux intellectuels dans les titres. Ainsi, la peine pour l'infraction abstraitement la plus grave, soit en l'occurrence le faux dans les titres en lien avec la formule officielle falsifiée remise aux locataires J______/J______, doit être sanctionnée par une peine privative de liberté de trois mois. La peine doit être aggravée d'un mois (peine hypothétique de deux mois) pour chacune des neuf autres occurrences de faux dans les titres en lien avec les avis de notification du loyer initial, ce qui porte la peine à 12 mois. Les conditions du sursis sont remplies vu l'absence d'antécédent, le pronostic n'étant pas clairement défavorable malgré l'absence de prise de conscience de l'appelant. Un délai d'épreuve d'une durée de trois ans paraît adéquat. Le jugement querellé sera modifié dans le sens qui précède, l'appel principal étant partiellement admis tandis que l'appel joint rejeté.</w:t>
      </w:r>
    </w:p>
    <w:p>
      <w:r>
        <w:rPr>
          <w:b/>
        </w:rPr>
        <w:t>E. 3</w:t>
      </w:r>
    </w:p>
    <w:p>
      <w:r>
        <w:t>3.1.1. Le prévenu supporte les frais de procédure de première instance s'il est condamné (art. 426 al. 1 CPP). 3.1.2.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w:t>
      </w:r>
    </w:p>
    <w:p>
      <w:r>
        <w:t>- 9/16 - P/7551/2018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3.1.3. Si l'autorité de recours rend une nouvelle décision, elle se prononce également sur les frais fixés par l'autorité inférieure (art. 428 al. 3 CPP). 3.1.4.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l'État si l'autorité d'appel doit revoir favorablement sa décision à la suite de l'arrêt de renvoi (arrêt du Tribunal fédéral 6B_1367/2017 du 13 avril 2018 consid. 2.1). 3.1.5.1. À teneur de l'art. 436 al. 1 CPP, les prétentions en indemnités et en réparation du tort moral dans la procédure de recours ("Rechtsmittelverfahren", i.e. appel et recours) sont régies par les art. 429 à 434 CPP. À teneur de l'art. 429 al. 1 CPP, le prévenu a droit, s'il est acquitté totalement ou en partie, à une indemnité pour les dépenses occasionnées par l'exercice raisonnable de ses droits de procédure (let. a), à une indemnité pour le dommage économique subi au titre de participation obligatoire à la procédure pénale (let. b) et à une réparation du tort moral subi en raison d'une atteinte particulièrement grave à sa personnalité, notamment en cas de privation de liberté (let. c). 3.1.5.2. Si ni un acquittement total ou partiel, ni un classement de la procédure ne sont prononcés mais que le prévenu obtient gain de cause sur d'autres points, il a droit à une juste indemnité pour ses dépenses (art. 436 al. 2 CPP). 3.1.5.3. L'indemnité visée par l'art. 429 al. 1 let. a CPP couvre en particulier les honoraires d'avocat. Ceux-ci doivent être proportionnés (N. SCHMID, Schweizerische Strafprozessordnung : Praxiskommentar, 2ème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consid. 2.3.4 ; arrêt du Tribunal fédéral 6B_928/2014 du 10 mars 2016 consid. 3.1.2).</w:t>
      </w:r>
    </w:p>
    <w:p>
      <w:r>
        <w:t>- 10/16 - P/7551/2018 Le prévenu acquitté peut faire valoir tous les autres frais liés à la défense de ses intérêts, en particulier les débours (photocopies et frais de port), les frais de traduction ou d’expertise privée, pour autant qu’ils se révèlent nécessaires. Un avis de droit n'a toutefois pas à être indemnisé, l’avocat étant censé maîtriser le volet juridique d’une défense (M. NIGGLI / M. HEER / H. WIPRÄCHTIGER [éds], Strafprozessordnung / Jugendstrafprozessordnung, Basler Kommentar StPO/JStPO, 2e éd., Bâle 2014, n. 17 ad art. 429 CPP ; Y. JEANNERET / A. KUHN, Précis de procédure pénale, Berne 2013, n. 5065 p. 124). 3.1.5.4. L'indemnité visée par l'art. 429 al. 1 let. a CPP doit correspondre au tarif usuel du barreau applicable dans le canton où la procédure se déroule et englober la totalité des coûts de défense (ATF 142 IV 163 consid. 3 p. 162 ss ; arrêt du Tribunal fédéral 6B_392/2013 du 4 novembre 2013 consid. 2.3). La Cour de justice applique au chef d'étude un tarif horaire de CHF 450.-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 3.1.5.5. À la lumière des principes ci-dessus,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3.1.5.6. La preuve de l'existence du dommage, son ampleur et sa relation de causalité adéquate avec la poursuite pénale introduite à tort incombent au requérant (arrêt du Tribunal fédéral 6B_596/2007 du 11 mars 2008 consid. 2.2). S'agissant de l'indemnité pour les dépenses occasionnées par l'exercice raisonnable de ses droits de procédure, le défenseur doit donc produire une liste d'opérations comportant le temps consacré et le montant de ses honoraires (arrêt du Tribunal pénal fédéral, SK.2010.27 du 12 mai 2011 ; ACPR/179/2012 du 2 mai 2012). 3.1.5.7. Le CPP n'exclut pas en soi la participation de plusieurs défenseurs. Autre est néanmoins la question de savoir si le prévenu peut requérir une indemnisation pour ses frais de défense qui couvre l'intervention de ses différents défenseurs. Le recours à plusieurs avocats peut, en cas de procédure volumineuse et complexe, par exemple une procédure se rapportant à la gestion des intérêts pécuniaires d'une banque,</w:t>
      </w:r>
    </w:p>
    <w:p>
      <w:r>
        <w:t>- 11/16 - P/7551/2018 procéder d'un exercice raisonnable des droits de procédure (arrêt du Tribunal fédéral 6B_875/2013 du 7 avril 2014 consid. 4.3 et 4.5 = SJ 2014 I 424-425). 3.1.5.8. La question de l'indemnisation du prévenu doit être traitée en relation avec celle des frais. Dans cette mesure, la décision sur les frais préjuge de la question de l'indemnisation (ATF 137 IV 352 consid. 2.4.2 ; arrêts du Tribunal fédéral 6B_385/2017 du 5 décembre 2017 consid. 2.1 ; 6B_620/2016 du 17 mai 2017 consid. 2.2.2 ; 6B_792/2016 du 18 avril 2017 consid. 3.3). 3.2.1. En l'espèce, l'appelant, qui a conclu à son acquittement et subsidiairement au prononcé d'une peine pécuniaire de 30 jours-amende, succombe. Il obtient néanmoins partiellement gain de cause sur la peine privative de liberté dans la mesure où celle-ci a été réduite de 24 à 12 mois. Il se justifie ainsi de lui faire supporter les 3/4èmes des frais de la procédure d'appel antérieure à l'arrêt de renvoi du TF, lesquels ont été arrêtés à CHF 4'455.-, émolument de CHF 4'000.- compris, soit un montant de CHF 3'341.25. Le solde sera laissé à la charge de l'État. 3.2.2. Il n'y a pas lieu de revoir la répartition des frais de la procédure de première instance dès lors que le verdict de culpabilité est confirmé (art. 426 al. 1 et art. 428 al. 3 CPP). 3.2.3. Pour la procédure d'appel postérieure à l'arrêt du TF, les frais de la procédure d'appel seront laissés à la charge de l'État. Ces frais seront arrêtés à CHF 1'175.-, comprenant un émolument de CHF 1'000.- (art. 428 CPP ; art. 14 al. 1 let. e du règlement fixant le tarif des frais en matière pénale [RTFMP]).</w:t>
      </w:r>
    </w:p>
    <w:p>
      <w:r>
        <w:t>3.2.4. L'appelant, qui a majoritairement succombé mais obtenu partiellement gain de cause sur la peine a été condamné aux 3/4èmes des frais de la procédure d'appel antérieure à l'arrêt du TF. Il a ainsi droit, sur le principe, à être indemnisé pour ses frais de défense (art. 429 al. 1 let. a CPP) dans la même mesure que celle dans laquelle il ne supporte pas les frais. Il sera relevé qu'à ce stade de la procédure, les faits n'étaient pas d'une grande complexité, l'affaire étant essentiellement de nature juridique. Le dossier était en outre bien connu des avocats de l'appelant qui l'avaient plaidé peu de temps auparavant en première instance, sans qu'il ne connaisse de rebondissement en appel. L'appelant a par ailleurs – partiellement – obtenu gain de cause sur la peine pour un motif très brièvement plaidé, soit l'absence de force probante accrue des contrats de</w:t>
      </w:r>
    </w:p>
    <w:p>
      <w:r>
        <w:t>- 12/16 - P/7551/2018 bail litigieux. L'essentiel du débat a en effet porté sur les nombreuses questions préjudicielles soulevées (lesquelles avaient déjà majoritairement été plaidées en première instance) et, au fond, sur la qualification de faux dans les titres intellectuels des formules officielles – points sur lesquels l'appelant a succombé, ses arguments étant intégralement tombés à faux. En tout état, les notes de frais et honoraires produites par l'appelant, d'un montant total de CHF 140'469.50.-, TVA incluse, sont largement excessives. Elles ne mentionnent nullement la nature des prestations fournies, leur date, le temps consacré à chaque prestation, par qui, ni le tarif horaire appliqué. Elles ne permettent pas non plus à la Cour de déterminer si l'intervention des deux avocats a été raisonnable ou si, au contraire, elle s'est révélée superflue. Certaines d'entre elles mentionnent par ailleurs comme objet : "Affaire K______ / L______" et la CPAR ignore si celles-ci se rapportent bien à la présente procédure. Au vu de ce qui précède, la Cour fixera l'indemnité due ex aequo et bono. L'activité considérée comme raisonnable sera arrêtée et arrondie à 40 heures de travail, largement suffisantes en l'espèce, soit 3 heures d'entretien avec le client, 15 heures de recherches juridiques, 15 heures de préparation à l'audience d'appel et 6 heures et 20 minutes d'audience. Le taux horaire de CHF 450.- sera retenu pour l'ensemble de l'activité. L'avis de droit versé à la procédure ne sera pas indemnisé dans la mesure où l'avocat est censé maîtriser le volet juridique d'une défense et que 15 heures ont été comptabilisées pour les recherches juridiques au vu de la nature du problème soulevé en l'espèce. L'appelant n'a en tout état produit aucune facture à cet égard. Ainsi donc, la CPAR estime adéquate une indemnisation de CHF 4'846.50, correspondant à ¼ (au vu de la clé de répartition des frais de la procédure) de 40 heures d'activité au taux horaire de CHF 450.- (CHF 19'386.-), et la TVA en CHF 1'386.-. La condamnation de l'appelant pour faux dans les titres ayant été confirmée, et sa détention avant jugement justifiée, l'appelant ne saurait prétendre à une quelconque indemnisation pour la détention subie (CHF 1'600.-), le gain manqué (CHF 27'000.-) ni encore le dommage économique (CHF 100'000.-) invoqués. 3.2.5. Pour la procédure d'appel postérieure à l'arrêt du TF, l'appelant conclut au versement d'une indemnité de CHF 3'600.-, correspondant à 8 heures de travail au taux horaire de CHF 450.-. À la lumière des principes susrappelés, l'activité des conseils de l'appelant pour cette procédure, qui ne comprenait aucune difficulté particulière, sera arrêtée à 4 heures, suffisantes en l'espèce pour la rédaction du</w:t>
      </w:r>
    </w:p>
    <w:p>
      <w:r>
        <w:t>- 13/16 - P/7551/2018 mémoire d'appel motivé de 9 pages, pages de garde et de conclusions comprises. Le taux horaire sollicité sera admis. L'indemnisation sera ainsi arrêtée à CHF 1'938.60 correspondant à 4 heures d'activité au tarif horaire sollicité de CHF 450.- et la TVA en CHF 138.60. 3.2.6. Conformément à l'art. 442 al. 4 CPP, cette indemnité sera compensée avec la créance de l'État envers l'intéressé portant sur les frais de procédure mis à sa charge. * * * * *</w:t>
      </w:r>
    </w:p>
    <w:p>
      <w:r>
        <w:t>- 14/16 - P/7551/2018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