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AARP/44/2018 vom 9. Februar 2018</w:t>
      </w:r>
    </w:p>
    <w:p>
      <w:r>
        <w:t>GE Cour de justice, 2018-02-09, FR</w:t>
      </w:r>
    </w:p>
    <w:p>
      <w:r>
        <w:rPr>
          <w:b/>
        </w:rPr>
        <w:t xml:space="preserve">Quelle: </w:t>
      </w:r>
      <w:r>
        <w:t>https://mcp.opencaselaw.ch/entscheid/ge_gerichte_AARP_44_2018</w:t>
      </w:r>
    </w:p>
    <w:p>
      <w:r>
        <w:t>FR: GE_GERICHTE AARP/44/2018 du 9 février 2018</w:t>
      </w:r>
    </w:p>
    <w:p>
      <w:r>
        <w:t>IT: GE_GERICHTE AARP/44/2018 del 9 febbraio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w:t>
      </w:r>
    </w:p>
    <w:p>
      <w:r>
        <w:t>- 7/17 - P/18749/2017 véritable des événements (ATF 138 V 74 consid. 7 p. 82 ; ATF 127 I 38 consid. 2a p. 41 ; ATF 124 IV 86 consid. 2a p. 87 s. ; arrêt du Tribunal fédéral 6B_1015/2016 du 27 octobre 2017 consid. 4.1). 2.2.1. Aux termes de l'art. 186 CP, se rend coupable de violation de domicile notamment celui qui, d'une manière illicite et contre la volonté de l'ayant droit, aura pénétré dans une habitation ou un local fermé. Selon la jurisprudence,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p. 39 = JdT 1983 IV 76 ; arrêt du Tribunal fédéral 6B_1056/2013 du 20 août 2014 consid. 2.1 ; B. CORBOZ, Les infractions en droit suisse, vol. I, Berne 2010, n. 38 et 39 ad art. 186 CP).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op. cit., n. 45 ss ad art. 186 CP). 2.2.2.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w:t>
      </w:r>
    </w:p>
    <w:p>
      <w:r>
        <w:t>- 8/17 - P/18749/2017 effet d'atténuer ou d'exclure la peine (arrêt du Tribunal fédéral 6B_719/2009 du 3 décembre 2009 consid. 1.1 et les références citées).</w:t>
      </w:r>
    </w:p>
    <w:p>
      <w:r>
        <w:rPr>
          <w:b/>
        </w:rPr>
        <w:t>E. 2.3</w:t>
      </w:r>
    </w:p>
    <w:p>
      <w:r>
        <w:t>En l'espèce, le 12 septembre 2017, l'appelant a pénétré dans un magasin C______, alors qu'il faisait l'objet d'une interdiction d'entrée de trois ans, dont il avait pris connaissance le 19 novembre 2015. L'ayant droit des lieux lui avait ainsi, à cette date, clairement fait savoir que toute intrusion à l'avenir dans ce commerce interviendrait contra sa volonté. L'appelant allègue toutefois qu'il pensait que l'interdiction d'entrée avait pris fin. Cette explication est dépourvue de crédibilité déjà du simple fait que la durée de trois ans apparaissait explicitement sur le document, qui lui a été notifié dans une langue qu'il maîtrise et qu'il a accepté de signer. En outre, s'il avait véritablement compris que la durée de l'interdiction était limitée à un an, l'on ne comprend pas bien, et il ne l'explique pas, les raisons pour lesquels il s'est refusé à pénétrer dans le magasin pendant presque deux ans, alors qu'il a dit se rappeler de l'année de notification. Enfin, l'interdiction de pénétrer en centre-ville, dont il se savait faire l'objet depuis une date récente, ne l'a pas empêché de se rendre précisément au cœur de la ville de Genève, ce qui démontre qu'il ne fait pas grand cas d'une décision de l'autorité et donc, a fortiori, d'une décision établie par le service de sécurité d'un magasin. Dans tous les cas, l'appelant a admis être entré dans ledit commerce pour y commettre un vol, pour lequel il a d'ailleurs été condamné et qu'il ne remet pas en cause, étant précisé que lorsqu'il a été interpellé il n'était en possession d'aucune espèce ni carte de paiement, qui lui aurait permis de régler d'éventuels achats. Il s'ensuit que l'appelant a pénétré dans le magasin C______ dans un autre but que celui usuel d'achat de marchandise et, par conséquent, contre la volonté de l'ayant droit, ce que l'intéressé ne pouvait ignorer. Le verdict de culpabilité pour le chef d'infraction à l'art. 186 CP sera ainsi confirmé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- 9/17 - P/18749/2017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En avril 2012, le Conseil fédéral a soumis au Parlement un projet portant réforme du droit des sanctions (Message relatif à la modification du Code pénal et du Code pénal militaire du 4 avril 2012, FF 2012 4385 ss). Les nouvelles dispositions proposées ont été débattues par le Parlement qui a procédé à quelques ajustements. Elles sont entrées en vigueur le 1er janvier 2018 (M. DUPUIS / L. MOREILLON / C. PIGUET / S. BERGER / M. MAZOU / V. RODIGARI [éds], Code pénal - Petit commentaire, 2e éd., Bâle 2017, Rem. prél. n. 4 ad art. 34 à 41). Cette réforme marque incontestablement un durcissement du droit des sanctions. La peine pécuniaire sera désormais de trois jours au moins et jusqu'à 180 jours (art. 34 al. 1 CP). Le montant du jour-amende devra être arrêté à CHF 30.- au moins et à CHF 3'000.- au plus, sous réserve de circonstances exceptionnelles justifiant la réduction à CHF 10.- (art. 34 al. 2 CP). La peine privative de liberté devra être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A titre de sanction immédiate, le juge peut, en sus du sursis, prononcer une amende (art. 42 al. 4 CP) (M. DUPUIS et al., op.cit., Rem. prél. n. 5 ad art. 34 à 41). A l'aune de l'art. 2 CP, cette réforme du droit des sanctions est moins favorable à la personne condamnée qui pourra ainsi revendiquer l'application du droit en vigueur au 31 décembre 2017 si les actes qu'il a commis l'ont été sous l'empire de ce droit. Le</w:t>
      </w:r>
    </w:p>
    <w:p>
      <w:r>
        <w:t>- 10/17 - P/18749/2017 Code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et al., op.cit., Rem. prél. n. 6 ad art. 34 à 41). 3.1.3. À teneur de l'art. 48 let. a ch. 2 CP, le juge atténue la peine notamment si l'auteur a agi dans une détresse profonde. La détresse profonde est réalisée lorsque l'auteur est poussé à transgresser la loi pénale par une situation proche de l'état de nécessité, c'est-à-dire que, sous la pression d'une détresse particulièrement grave, de nature matérielle ou morale, il croit ne pouvoir trouver une autre issue que dans la commission de l'infraction (ATF 107 IV 94 consid. 4a). 3.1.4. Sur le plan objectif, les peine pécuniaire, travail d'intérêt général et peine privative de liberté de six mois au moins et de deux ans au plus, peuvent être assorties du sursis total (cf. art. 42 al. 1 aCP).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w:t>
      </w:r>
    </w:p>
    <w:p>
      <w:r>
        <w:t>- 11/17 - P/18749/2017 3.2.1. En l'espèce, les faits reprochés à l'appelant dans le cadre de la présente procédure sont antérieurs à l'entrée en vigueur des nouvelles dispositions sur le droit des sanctions. Celles-ci n'étant pas plus favorables à l'appelant que celles qui étaient en vigueur au moment de la commission des infractions, elles ne trouvent pas application. L'ancien droit est donc applicable. 3.2.2. S'agissant de la quotité de la peine prononcée, sa nature n'ayant pas été contestée, la faute de l'appelant est de gravité moyenne et il y a concours d'infractions. Il a dérobé du parfum pour un montant supérieur à CHF 1'000.- et a violé diverses interdictions d'entrée et de périmètre. Pour précaire qu'elle soit, la condition de l'appelant ne justifie pas son comportement, ce d'autant que, selon ses propres dires, son frère l'aide financièrement. Cette précarité résulte d'ailleurs de son obstination à demeurer sur le territoire suisse, alors que sa demande d'asile a été rejetée depuis longtemps, qu'il pourrait retourner auprès des siens, travailler dans son pays d'origine et même rejoindre son frère en France, où un travail l'attend. Sa collaboration à la procédure a été moyenne, dès lors qu'il a été interpellé en flagrant délit, conteste la violation de domicile et allègue avoir agi pour la première fois, malgré ses antécédents. Aucune des circonstances atténuantes de l'art. 48 CP n'est réalisée, le dossier ne renfermant aucun indice concret permettant de retenir l'existence d'une menace grave ou d'un état de nécessité excusable en lien avec les infractions de violation de domicile et de vol, étant précisé que l'appelant a dérobé du parfum, soit un bien qui n'est pas de première nécessité. Enfin, l'appelant ne réunit pas les conditions du sursis, vu ses nombreux antécédents récents et spécifiques, ce qui justifie le prononcé d'une peine ferme. Malgré ce qu'il soutient, la possibilité de travail offerte par son frère depuis plus d'un an, son refus d'y donner suite et les nombreuses infractions commises depuis lors, démontrent au contraire que le pronostic d'avenir est plus que défavorable. Le jugement attaqué sera également confirmé sur ce point et l'appel rejeté.</w:t>
      </w:r>
    </w:p>
    <w:p>
      <w:r>
        <w:rPr>
          <w:b/>
        </w:rPr>
        <w:t>E. 4.1</w:t>
      </w:r>
    </w:p>
    <w:p>
      <w:r>
        <w:t>Conformément à l'art. 66a al. 1 let. d CP, le juge expulse un étranger du territoire suisse pour une durée de cinq à quinze ans s'il est reconnu coupable de vol (art. 139 CP) en lien avec une violation de domicile (art. 186 CP), quelle que soit la quotité de la peine prononcée à son encontre, pour une durée de cinq à quinze ans. Selon l'al. 2 de cette disposition, il peut néanmoins être renoncé à l'expulsion, exceptionnellement, lorsque celle-ci mettrait l'étranger dans une situation personnelle</w:t>
      </w:r>
    </w:p>
    <w:p>
      <w:r>
        <w:t>- 12/17 - P/18749/2017 grave et que les intérêts public à l'expulsion ne l'emportent pas sur son intérêt à demeurer en Suisse, la situation de celui qui est né et a grandi en Suisse méritant une prise en compte particulière (AARP/119/2017 du 20 mars 2017 consid. 4.1).¨ L'application de l'art. 66a al. 2 CP impose le respect du principe de proportionnalité. En d'autres termes, le juge doit faire une pesée des intérêts entre celui public à l'éloignement et la situation personnelle du condamné (G. FIOLKA / L. VETTERLI, Landesverweisung nach Art. 66a StGB als strafrechtliche Sanktion, cahier spécial, Plädoyer 5/16, p. 87 ; K. KÜMIN, Darf eine Aufenthaltsbewilligung widerrufen werden, nachdem von einer Landesverweisung abgesehen wurde ?, Jusletter 28 novembre 2016, p. 14). Concernant le premier volet, le juge considérera pour commencer la quotité de la peine : plus lourde sera celle-ci et plus grand sera l'intérêt public à expulser l'étranger (M. BUSSLINGER / P. UEBERSAX, Härtefallklausel und migrationsrechtliche Auswirkungen der Landesverweisung, cahier spécial, Plaidoyer 5/2016,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M. BUSSLINGER / P. UEBERSAX, op. cit., p. 97 ; K. KÜMIN, op. cit., p. 14 ; G. MÜNCH / F. DE WECK Die neue Landesverweisung, in Art. 66a ff. StGB, Revue de l'avocat 2016, p. 166).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(ATF 123 IV 107 consid. 3 et les références citées).</w:t>
      </w:r>
    </w:p>
    <w:p>
      <w:r>
        <w:rPr>
          <w:b/>
        </w:rPr>
        <w:t>E. 4.2</w:t>
      </w:r>
    </w:p>
    <w:p>
      <w:r>
        <w:t>En l'espèce, l'appelant ayant été reconnu coupable de vol et de violation de domicile, son expulsion est obligatoire (art. 66a al. 1 let. d CP). Une éventuelle renonciation ne peut intervenir qu'exceptionnellement, au cas où l'expulsion mettrait l'appelant dans une situation grave et où son intérêt à rester en Suisse serait supérieure à celui de la collectivité à le renvoyer en Algérie.</w:t>
      </w:r>
    </w:p>
    <w:p>
      <w:r>
        <w:t>- 13/17 - P/18749/2017 L'hypothèse principalement visée est celle d'un étranger né en Suisse ou y ayant grandi. L'appelant, arrivé en Suisse en 2005, cumule, depuis le ___ 2008, plus de vingt condamnations. Certes, il s'agit d'infractions exemptes de violences, mais son comportement récidiviste démontre qu'il n'est assurément pas intégré. Au demeurant, il n'a aucune attache avec la Suisse, dans la mesure où il dit ne jamais y avoir travaillé légalement et où sa famille, hormis son frère qui réside en France, vit en Algérie. Il n'a par ailleurs pas de domicile fixe ni de moyens d'existence. Comme évoqué supra (ch. 3.2.2), son projet d'avenir évoqué durant la présente procédure, soit sa prétendue volonté de rejoindre son frère en France, semble de pure circonstance, dès lors qu'il aurait pu partir depuis plus d'un an. Même s'il maîtrise le français, ses chances de réintégration sont plus que ténues, compte tenu de son statut juridique au regard du droit des étrangers, étant rappelé que sa demande d'asile a été rejetée et qu'il fait l'objet d'une interdiction d'entrée sur le territoire helvétique. Enfin, hormis son refus de rentrer en Algérie, où il pourrait d'ailleurs exercer la profession de boulanger comme par le passé, il n'allègue pas en quoi cela pourrait lui porter préjudice. Une telle situation ne saurait justifier qu'il soit renoncé à expulser l'appelant. Au vu des éléments exposés ci-dessus, une expulsion pour une durée de cinq ans est adéquate et proportionnée aux circonstances du cas d'espèce, de sorte que la décision du Tribunal de police sera confirmée et l'appel rejeté.</w:t>
      </w:r>
    </w:p>
    <w:p>
      <w:r>
        <w:rPr>
          <w:b/>
        </w:rPr>
        <w:t>E. 5</w:t>
      </w:r>
    </w:p>
    <w:p>
      <w:r>
        <w:t>Les motifs ayant conduit le premier juge à prononcer, par ordonnance séparée du 9 novembre 2017,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l'entier des frais de la procédure envers l'État (art. 428 CPP), lesquels comprennent un émolument de jugement de CHF 1'500.- (art. 14 al. 1 let. e du Règlement fixant le tarif des frais en matière pénale du 22 décembre 2010 [RTFMP - RS E 4 10.03]).</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w:t>
      </w:r>
    </w:p>
    <w:p>
      <w:r>
        <w:t>- 14/17 - P/18749/2017 199 consid. 5.1 p. 201 s. = JdT 2014 IV 79).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À l'instar de la jurisprudence précitée, l'art 16. al. 2 RAJ prescrit également que seules les heures nécessaires à la défense devant les juridictions cantonales sont retenues et sont appréciées en fonction notamment de la nature, de l'importance et</w:t>
      </w:r>
    </w:p>
    <w:p>
      <w:r>
        <w:t>- 15/17 - P/18749/2017 des difficultés de la cause, de la valeur litigieuse, de la qualité du travail fourni et du résultat obtenu.</w:t>
      </w:r>
    </w:p>
    <w:p>
      <w:r>
        <w:rPr>
          <w:b/>
        </w:rPr>
        <w:t>E. 7.3</w:t>
      </w:r>
    </w:p>
    <w:p>
      <w:r>
        <w:t>En l'espèce, l'activité de Me B______ est en adéquation avec la nature, l'importance et la difficulté de la cause. En conclusion, l'indemnité sera arrêtée à CHF 680.40 correspondant à une heure d'activité au tarif de CHF 200.-/heure et 5 heures au tarif de CHF 65.-/heure et comprenant la majoration forfaitaire de 20% (CHF 105.-) et l'équivalent de la TVA au taux de 8% (CHF 50.40). * * * * *</w:t>
      </w:r>
    </w:p>
    <w:p>
      <w:r>
        <w:t>- 16/17 - P/18749/2017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