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AARP/449/2013 vom 27. September 2013</w:t>
      </w:r>
    </w:p>
    <w:p>
      <w:r>
        <w:t>GE Cour de justice, 2013-09-27, FR</w:t>
      </w:r>
    </w:p>
    <w:p>
      <w:r>
        <w:rPr>
          <w:b/>
        </w:rPr>
        <w:t xml:space="preserve">Quelle: </w:t>
      </w:r>
      <w:r>
        <w:t>https://mcp.opencaselaw.ch/entscheid/ge_gerichte_AARP_449_2013</w:t>
      </w:r>
    </w:p>
    <w:p>
      <w:r>
        <w:t>FR: GE_GERICHTE AARP/449/2013 du 27 septembre 2013</w:t>
      </w:r>
    </w:p>
    <w:p>
      <w:r>
        <w:t>IT: GE_GERICHTE AARP/449/2013 del 27 settembre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expressément par l’art. 6 par. 2 de la Convention de sauvegarde des droits de l’homme et des libertés fondamentales du 4 novembre 1950 (CEDH - RS 0.101) et l’art. 32 al. 1 de la Constitution fédérale de la Confédération suisse du 18</w:t>
      </w:r>
    </w:p>
    <w:p>
      <w:r>
        <w:t>- 12/21 - P/11056/2010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 arrêt du Tribunal fédéral 6B_784/2011 du 12 mars 2012 consid. 1.1.2).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 Dans le cadre du principe de la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w:t>
      </w:r>
    </w:p>
    <w:p>
      <w:r>
        <w:rPr>
          <w:b/>
        </w:rPr>
        <w:t>E. 2.2</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les contrats synallagmatiques ne faisant naître en principe que des prétentions à une contre-prestation et non une obligation de conservation. L'inexécution de l'obligation</w:t>
      </w:r>
    </w:p>
    <w:p>
      <w:r>
        <w:t>- 13/21 - P/11056/2010 de reverser une somme ne suffit pas à elle seule pour constituer un abus de confiance (ATF 133 IV 21 consid. 7.2 p. 30 s ; 124 IV 9, 120 IV 117 ; 118 IV 239 consid. 2b ; arrêts du Tribunal fédéral 6B_233/2013 du 3 juin 2013 consid. 4.2 ; 6B_312/2009 du 17 juillet 2009).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121 IV 23 consid. 1c p. 25 ; arrêt du Tribunal fédéral 6B_17/2009 du 16 mars 2009 consid 2.1.1.). L'emploi illicite d'un bien confié n'est possible qui si celui qui reçoit le bien est tenu à l'égard de celui qui le lui confie de conserver constamment la contre-valeur de ce qu'il a reçu. En cas de prêt accordé dans un but déterminé, ce devoir de l'emprunteur peut être déduit de l'accord conclu avec le prêteur. Dans ce dernier cas, l'emprunteur commet un abus de confiance, vu la destination économique de l'argent, qui en fait une chose confiée (ATF 124 IV 9 consid. 1; ATF 120 IV 117 consid. 2; ATF 86 IV 167). Ce qui compte c'est la destination convenue des fonds et l'intérêt pour le prêteur que représente le respect de cette destination, en tant que limite du risque de perte. On peut en déduire que l'utilisation de l'argent prêté contrairement à sa destination convenue peut être constitutive d'un abus de confiance lorsqu'elle est de nature à créer un dommage au prêteur (ATF 129 IV 257 nsid. 2.2.2 et les références citées), la qualification d'abus de confiance à propos d'un prêt impliquant, au demeurant, que la destination convenue des fonds puisse assurer la couverture du risque du prêteur ou, du moins, diminuer son risque de perte (ATF 133IV 21 consid. 6.2 ; ATF 129 IV 257 consid 2.2.2 et 2.3 ; ATF 124 IV 9 consid.1 ; ATF 120 IV 117 consid. 2 ; arrêts du Tribunal fédéral 6B_308/2012 du 4 février 2013 considé 2.2 et 6B_42/2011 du 30 août 2011 consid. 1.3). Du point de vue subjectif, l'auteur doit agir intentionnellement, avec le dessein de se procurer ou de procurer à un tiers un enrichissement illégitime, qui peut être réalisé par dol éventuel (ATF 118 IV 32 consid. 2a). L'enrichissement ne sera pas illégitime si l'auteur y a droit (ou croit qu'il y a droit en raison d'une erreur sur les faits). L'élément subjectif de l'infraction n'est pas donné en cas de capacité de restituer (Ersatzbereitschaft), par quoi l'on désigne l'état de l'auteur qui peut justifier d'avoir, dès lors que la créance était exigible, eu à tout moment la volonté et la possibilité de présenter l'équivalent des montant employés (ATF 118 IV 32 consid. 2a). L'abus de confiance prime la gestion déloyale définie à l'art. 158 CP (concours imparfait). L'art. 158 ch. 1 CP entrera cependant seul en considération en cas de comportement contraire au devoir dépourvu de tout dessein d'enrichissement</w:t>
      </w:r>
    </w:p>
    <w:p>
      <w:r>
        <w:t>- 14/21 - P/11056/2010 illégitime, si les valeurs litigieuses n'ont pas été confiées à l'auteur, par exemple si ce dernier est un organe de fait ou en cas de gestion sans mandat, ou, enfin, en l'absence d'acte d'appropriation (arrêt du Tribunal fédéral 6S.512/2006 du 5 mars 2007 consid. 9.2 et les références citées). 2.3.1. En l'espèce, les intimés ont versé EUR 50'000.– sur le compte de la société en vertu d'un contrat de prêt et n'ont jamais été remboursés. Il convient donc d'examiner dans le cas particulier si les avoirs avaient été confiés à l'appelant, autrement dit si celui-ci avait l'obligation d'en conserver la contre-valeur. Il n'est pas contesté que le document signé par les parties ne contenait pas de mention expresse quant à l'utilisation des fonds prêtés. Cela dit, contrairement à ce que prétend l'appelant, l'affection des fonds peut être convenue tacitement ou par actes concluants. Or, il ressort des déclarations des parties et des différents témoignages, que le prêt avait été octroyé à la société dans le cadre d'un important projet immobilier, lequel s'inscrivait clairement dans le but poursuivi par celle-ci. Ce montant devait permettre à la société de faire face à ses obligations de trésorerie, en particulier payer la banque, dans l'attente du démarrage d'un projet et de l'encaissement d'une importante somme d'argent, également en relation avec un projet immobilier. L'appelant lui-même, avant de se rétracter, a admis devant la police puis devant le Ministère public que le prêt avait été octroyé en vue du projet de R______. C'est parce que celui-ci avait tardé à démarrer qu'il avait affecté ce montant au paiement d'autres frais. Il est en outre communément admis, et partant tacitement convenu, qu'un prêt consenti à une société doit être utilisé conformément au but social de celle-ci. Il faut donc considérer que le prêt consenti par les époux B______ et C______ l'était avec une destination prédéfinie, soit dans le but de développer l'activité de la société dans le domaine immobilier. Seule cette utilisation devait permettre une rentrée importante d'argent, rendant possible le remboursement rapide de la somme prêtée. La durée courte du prêt constitue d'ailleurs un indice de l'affectation particulière nécessaire du montant. La promesse d'utiliser la somme prêtée dans des projets immobiliers était enfin pour les intimés gage du sérieux de l'opération et de l'absence de risques. Le seul fait que le taux d'intérêt était élevé ne permet pas de considérer que l'affectation des fonds n'avait pas d'importance, ni qu'elle pouvait concerner des dépenses sortant du but social. Ainsi, contrairement à ce que l'appelant tente de soutenir, il n'était pas autorisé à utiliser les fonds prêtés à sa guise, pour des dépenses sortant du cadre des activités premières de la société et mettant en conséquence en péril sa stabilité financière. Les fonds remis par les époux B______ et C______ ont bien été confiés à la société, soit pour elle X______.</w:t>
      </w:r>
    </w:p>
    <w:p>
      <w:r>
        <w:t>- 15/21 - P/11056/2010 2.3.2. Les fonds prêtés ont été presque intégralement retirés du compte de la société en huit jours, et affecté à des fins autres que celles convenues par les parties, soit l'investissement immobilier, ou sortant du but social. L'appelant s'est en effet approprié ces montants pour ses besoins propres, ou ceux d'entités tierces, par exemple en acquittant ses impôts privés, ou en réglant des frais d'essence d'autres sociétés dont il était administrateur, ou encore en acquittant des frais d'acquisition ou d'entretien d'un cheval, alors que la société rencontrait des difficultés financières. Peu importe à cet égard que le contrat ait été négocié par A______. X______ gérait seul l'aspect financier de la société, ce que de nombreux témoins ont confirmé. Peu importe également la nature du contrat liant la société à O______. En conclusion, en utilisant cet argent pour son propre usage ou à d'autres fins que celles prévues, l'appelant a employé sans droit une valeur patrimoniale qui lui était confiée. Les conditions objectives de l'abus de confiance sont donc réalisées. De la sorte, il a employé sans droit, à son profit ou au profit d'un tiers, une valeur patrimoniale au sens de l'art. 138 ch. 1 al. 2 CP. 2.3.3. Le dessein d'enrichissement illégitime est également réalisé, l'appelant s'étant soit enrichi personnellement, soit ayant enrichi des sociétés dont il était ayant-droit économique. Alors même que la société savait devoir tenir à disposition la somme de EUR 27'000.– afin d'honorer la garantie permettant de démarrer le projet de R______ en mars 2009, les fonds n'étaient déjà plus suffisants huit jours après le versement du prêt des intimés, en raison des prélèvements effectués par l'appelant. Cela démontre que, déjà au moment du versement du montant du prêt, l'appelant n'avait nullement l'intention d'utiliser les fonds conformément à la destination convenue ni même de rembourser le prêt à l'échéance du délai. 2.3.4. Par conséquent, tous les éléments constitutifs de l'infraction d'abus de confiance sont réalisés, de sorte que le verdict de culpabilité doit être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- 16/21 - P/11056/2010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w:t>
      </w:r>
    </w:p>
    <w:p>
      <w:r>
        <w:rPr>
          <w:b/>
        </w:rPr>
        <w:t>E. 3.2</w:t>
      </w:r>
    </w:p>
    <w:p>
      <w:r>
        <w:t>Conformément à l'art. 34 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w:t>
      </w:r>
    </w:p>
    <w:p>
      <w:r>
        <w:t>- 17/21 - P/11056/2010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w:t>
      </w:r>
    </w:p>
    <w:p>
      <w:r>
        <w:rPr>
          <w:b/>
        </w:rPr>
        <w:t>E. 3.3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t>- 18/21 - P/11056/2010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3.4</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Une peine complémentaire, aussi dite additionnelle, peut être assortie du sursis pour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w:t>
      </w:r>
    </w:p>
    <w:p>
      <w:r>
        <w:rPr>
          <w:b/>
        </w:rPr>
        <w:t>E. 3.5</w:t>
      </w:r>
    </w:p>
    <w:p>
      <w:r>
        <w:t>La peine à laquelle l'appelant a été condamné ne suscite aucune critique. Sa faute est lourde, dans le sens où il n'a pas hésité à impliquer des connaissances d'un partenaire commercial et a abusé de leur confiance. L'appelant savait que son contrat n'était pas valable en ce qui concerne le cautionnement, car son avocat le lui avait dit. Il savait également que le taux d'intérêt convenu était trop élevé et n'avait jamais eu l'intention de le payer, ce qui démontre sa mauvaise foi depuis le début des relations commerciales entre les parties. Il n'a pas</w:t>
      </w:r>
    </w:p>
    <w:p>
      <w:r>
        <w:t>- 19/21 - P/11056/2010 hésité à offrir de nombreuses garanties aux intimés pour les inciter à lui confier toutes leurs économies, en sachant pertinemment qu'il ne remplirait pas ses obligations à leur égard. Il n'a pas même pris la peine d'épargner un montant de EUR 27'000.– qu'il ne pouvait ignorer devoir payer à titre de garantie afin de pouvoir commencer les travaux, ce qui a conduit à ce que la société soit évincée du projet et, finalement, à la faillite de l'entreprise. Il a agi par appât du gain et a privilégié les dépenses relatives au maintien de son niveau de vie ou celui de sa fille, en payant ses impôts ou l'entretien des chevaux, plutôt qu'assurer la survie de l'entreprise et permettre le remboursement des montants prêtés. Il a fait preuve de mauvaise foi, prétendant que la société n'avait pas les moyens de payer les charges afférentes à un salaire, mais qu'elle pouvait acheter et entretenir des chevaux. Sa collaboration à l'enquête a été mauvaise. Il n'a donnée que peu d'explications sur l'utilisation des fonds, indiquant d'abord que le prêt avait été accordé en vue d'un projet à R______, puis qu'il l'avait été pour que les administrateurs de la société soient "plus à l'aise" avec la trésorerie de la société, laissant alors entendre que la société n'avait pas de problème de liquidités, puis que le but du prêt était de renflouer la trésorerie de la société. Il a systématiquement minimisé son rôle, notamment par rapport à celui de son associé, alors même qu'il était le seul à gérer les finances de la société. L'appelant n'a en outre entrepris aucune démarche concrète pour restituer aux intimés le montant qu'il leur doit. Il n'a manifesté aucun regret et n'a fait preuve d'aucune prise de conscience par rapport à la gravité de son comportement. Aucune circonstance atténuante ne peut être retenue. Une peine de 90 jours-amende apparaît adéquate vu la faute commise. La quotité du jour-amende, fixé à CHF 100.– compte tenu la situation financière et personnelle actuelle du prévenu, n'est pas contestée. La peine de 90 jours-amende à CHF 100.– par jour infligée en première instance sera confirmée. Les antécédents judiciaires de l'appelant étant postérieurs aux faits qui lui sont reprochés dans le cadre de la présente procédure, on ne saurait dire que le pronostic est défavorable, si bien que le sursis lui sera octroyé. Par ailleurs, la peine prononcée sera complémentaire à celles prononcées les 2 juin 2010 et 18 octobre 2010 par le Ministère public du canton de Genève.</w:t>
      </w:r>
    </w:p>
    <w:p>
      <w:r>
        <w:rPr>
          <w:b/>
        </w:rPr>
        <w:t>E. 5</w:t>
      </w:r>
    </w:p>
    <w:p>
      <w:r>
        <w:t>L'appelant, qui succombe entièrement, sera condamné aux frais de la procédure d'appel comprenant un émolument de jugement de CHF 1'000.– (art. 428 al. 1 CPP et 14 al. 1 let. e du Règlement fixant le tarif des frais en matière pénale ; E 4 10.03). * * * * *</w:t>
      </w:r>
    </w:p>
    <w:p>
      <w:r>
        <w:t>- 20/21 - P/11056/2010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