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AARP/445/2023 vom 27. November 2023</w:t>
      </w:r>
    </w:p>
    <w:p>
      <w:r>
        <w:t>GE Cour de justice, 2023-11-27, FR</w:t>
      </w:r>
    </w:p>
    <w:p>
      <w:r>
        <w:rPr>
          <w:b/>
        </w:rPr>
        <w:t xml:space="preserve">Quelle: </w:t>
      </w:r>
      <w:r>
        <w:t>https://mcp.opencaselaw.ch/entscheid/ge_gerichte_AARP_445_2023</w:t>
      </w:r>
    </w:p>
    <w:p>
      <w:r>
        <w:t>FR: GE_GERICHTE AARP/445/2023 du 27 novembre 2023</w:t>
      </w:r>
    </w:p>
    <w:p>
      <w:r>
        <w:t>IT: GE_GERICHTE AARP/445/2023 del 27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 illégale ou inéquitable (art. 404 al. 2 CPP).</w:t>
      </w:r>
    </w:p>
    <w:p>
      <w:r>
        <w:rPr>
          <w:b/>
        </w:rPr>
        <w:t>E. 2.1</w:t>
      </w:r>
    </w:p>
    <w:p>
      <w:r>
        <w:t>Le juge suspend en règle générale l’exécution d’une peine pécuniaire ou d’une peine privative de liberté de deux ans au plus lorsqu’une peine ferme ne paraît pas nécessaire pour détourner l’auteur d’autres crimes ou délits (art. 42 al. 1 du Code pénal [CP]).</w:t>
      </w:r>
    </w:p>
    <w:p>
      <w:r>
        <w:t>- 4/7 - P/8309/2022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Le sursis est la règle dont on ne peut s'écarter qu'en présence d'un pronostic défavorable. Il prime en cas d'incertitude. Dans l'émission du pronostic, le juge dispose d'un large pouvoir d'appréciation (ATF 135 IV 180 consid. 2.1 ; 134 IV 5 consid. 4.4.2 ; arrêt du Tribunal fédéral 6B_489/2021 du 11 mars 2022 consid. 1.1).</w:t>
      </w:r>
    </w:p>
    <w:p>
      <w:r>
        <w:rPr>
          <w:b/>
        </w:rPr>
        <w:t>E. 2.2</w:t>
      </w:r>
    </w:p>
    <w:p>
      <w:r>
        <w:t>Les antécédents de l'appelant son mauvais. Il fait l'objet de deux inscriptions au casier judiciaire. Cela étant, ses précédentes condamnations ont trait à la LEI. Or le statut en Suisse du prévenu a évolué. Il est désormais titulaire d'un titre de séjour, document dont il ne disposait pas (encore) lors de sa comparution en première instance – seule une demande en ce sens était alors pendante. Son récent mariage, le regroupement familial autorisé, l'emploi décroché et, surtout, le droit de séjourner légalement en Suisse éloignent le risque d'un nouveau délit à la LEI, qu'il s'agisse d'entrée illégale, de séjour illégal ou d'exercice d'une activité lucrative sans autorisation. Par ailleurs, l'état d'esprit manifesté par l'appelant aux débats d'appel est bon. Aussi le pronostic n'est-il pas défavorable. Le sursis sera accordé. Le jugement sera réformé sur ce point. 3.1. L'art. 44 al. 1 CP dispose que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Dans ce contexte, les autorités cantonales disposent d'un large pouvoir d'appréciation (arrêt du Tribunal fédéral 6B_1192/2019 du 28 février 2020 consid. 2.1). 3.2. Certes, le prévenu a un statut régulier en Suisse désormais. Mais ses antécédents témoignent d'une inclination à transgresser les règles. L'effet d'avertissement des précédentes peines – la dernière était ferme – a été vain. Cet élément commande qu'une certaine pression soit mise sur l'appelant pour qu'il renonce à commettre de</w:t>
      </w:r>
    </w:p>
    <w:p>
      <w:r>
        <w:t>- 5/7 - P/8309/2022 nouvelles infractions. Il semble approprié, dans ces conditions, de prévoir un délai d'épreuve s'écartant du minimum légal et de le fixer à trois ans.</w:t>
      </w:r>
    </w:p>
    <w:p>
      <w:r>
        <w:rPr>
          <w:b/>
        </w:rPr>
        <w:t>E. 4</w:t>
      </w:r>
    </w:p>
    <w:p>
      <w:r>
        <w:t>L'appel étant sur l'essentiel admis, il ne sera pas perçu de frais (art. 428 al. 1 CPP a contrario). * * * * *</w:t>
      </w:r>
    </w:p>
    <w:p>
      <w:r>
        <w:t>- 6/7 - P/8309/2022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