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AARP/445/2015 vom 13. Oktober 2015</w:t>
      </w:r>
    </w:p>
    <w:p>
      <w:r>
        <w:t>GE Cour de justice, 2015-10-13, FR</w:t>
      </w:r>
    </w:p>
    <w:p>
      <w:r>
        <w:rPr>
          <w:b/>
        </w:rPr>
        <w:t xml:space="preserve">Quelle: </w:t>
      </w:r>
      <w:r>
        <w:t>https://mcp.opencaselaw.ch/entscheid/ge_gerichte_AARP_445_2015</w:t>
      </w:r>
    </w:p>
    <w:p>
      <w:r>
        <w:t>FR: GE_GERICHTE AARP/445/2015 du 13 octobre 2015</w:t>
      </w:r>
    </w:p>
    <w:p>
      <w:r>
        <w:t>IT: GE_GERICHTE AARP/445/2015 del 13 ottobre 2015</w:t>
      </w:r>
    </w:p>
    <w:p>
      <w:pPr>
        <w:pStyle w:val="Heading2"/>
      </w:pPr>
      <w:r>
        <w:t>Erwägungen</w:t>
      </w:r>
    </w:p>
    <w:p>
      <w:r>
        <w:rPr>
          <w:b/>
        </w:rPr>
        <w:t>E. 2</w:t>
      </w:r>
    </w:p>
    <w:p>
      <w:r>
        <w:t>et 3 CP) ; Que seule une libération conditionnelle de l'exécution de la mesure institutionnelle au sens de l'art. 62 CP pourra entrer en considération à l'avenir ; Qu'au vu des circonstances du cas d'espèce, les frais de la procédure d'appel seront laissés à la charge de l'État ; Que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 Que, selon l'art. 135 al. 1 CPP, le défenseur d'office est indemnisé conformément au tarif des avocats de la Confédération ou du canton du for du procès, l'art. 16 du règlement sur l'assistance juridique du 28 juillet 2010 (RAJ ; E 2 05.04) étant applicable à Genève, disposition qui prescrit que l'indemnité, en matière pénale, est calculée selon le tarif horaire de CHF 200.- pour un chef d'étude CHF 200.- (let. c), la TVA étant versée en sus en cas d'assujettissement ; Que conformément à la pratique en vigueur depuis plusieurs années, l'activité consacrée aux conférences, audiences et autres actes de la procédure est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w:t>
      </w:r>
    </w:p>
    <w:p>
      <w:r>
        <w:t>- 4/5 - PM/298/2014 Que le temps consacré à la procédure ne doit être pris en considération que dans la mesure où il apparait raisonnablement nécessaire à l'accomplissement de son mandant par un avocat expérimenté ; en outre, seules sont prises en compte les opérations directement liées à la procédure pénale, l'avocat devant ainsi veiller au respect du principe de proportionnalité (R. HAUSER / E. SCHWERI / K. HARTMANN, Schweizerisches Strafprozessrecht, 6e éd., Bâle 2005, no 5 ad § 109) ;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no 257 ad art. 12) ; Que l'activité qui n'est pas nécessaire à la défense devant les autorités cantonales n'est pas couverte par l'assistance juridique cantonale ; tel est le cas d'entretiens consistant vraisemblablement en un debriefing ou autres démarches postérieures au jugement, en l'absence d'appel, sous réserve de l'examen éventuel de son opportunité ; ainsi, en va-t-il également de l'activité déployée postérieurement au prononcé de l'arrêt en cas d'appel, notamment de celle tendant à évaluer l'opportunité d'un recours au Tribunal fédéral ou à le préparer (AARP/331/2015 du 27 juillet 2015 ; AARP/329/2015 du 30 juillet 2015 ; AARP/304/2015 du 16 juillet 2015 ; AARP/301/2015 du 20 juillet 2015 ; AARP/271/2015 du 8 juin 2015 ; AARP/198/2015 du 31 mars 2015 ; AARP/152/2015 du 24 mars 2015) ; Que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(AARP/331/2015 du 27 juillet 2015 ; AARP/325/2015 du 20 juillet 2015 et AARP/300/2015 du 16 juillet 2015) ; Qu'en l'occurrence et en application des principes susmentionnés, l'activité facturée pour l'examen de l'arrêt de la CPR et la rédaction de l'annonce d'appel ne sera pas indemnisée séparément de l'indemnité forfaitaire de 20 % pour l'activité diverse et une déduction de 1h sera opérée sur le temps global de 13h consacré à la rédaction du recours à la CPR, examen du jugement du TAPEM compris ; Qu'en conclusion, l'indemnité sera arrêtée à CHF 3'420.-, correspondant à 14h15 d'activité au tarif de CHF 200.-/heure [CHF 2'850.-], plus la majoration forfaitaire de 20% [CHF 570.-], sans TVA, l'intéressé n'y étant apparemment pas assujetti. * * * * *</w:t>
      </w:r>
    </w:p>
    <w:p>
      <w:r>
        <w:t>- 5/5 - PM/298/2014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