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AARP/443/2025 vom 11. Dezember 2025</w:t>
      </w:r>
    </w:p>
    <w:p>
      <w:r>
        <w:t>GE Cour de justice, 2025-12-11, FR</w:t>
      </w:r>
    </w:p>
    <w:p>
      <w:r>
        <w:rPr>
          <w:b/>
        </w:rPr>
        <w:t xml:space="preserve">Quelle: </w:t>
      </w:r>
      <w:r>
        <w:t>https://mcp.opencaselaw.ch/entscheid/ge_gerichte_AARP_443_2025</w:t>
      </w:r>
    </w:p>
    <w:p>
      <w:r>
        <w:t>FR: GE_GERICHTE AARP/443/2025 du 11 décembre 2025</w:t>
      </w:r>
    </w:p>
    <w:p>
      <w:r>
        <w:t>IT: GE_GERICHTE AARP/443/2025 del 11 dicembre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Les appelants considèrent que le premier juge aurait violé la maxime d'accusation, en les condamnant pour une infraction grave à la LStup, alors que l’acte d’accusation ne vise que l’importation et la détention de méthamphétamine et non la remise de cette drogue à des tiers, élément pourtant essentiel, selon eux, pour concrétiser la mise en danger de la santé de nombreuses personnes au sens de l’art. 19 al. 2 let. a LStup.</w:t>
      </w:r>
    </w:p>
    <w:p>
      <w:r>
        <w:t>2.1.1. La maxime d'accusation est consacrée par l'art. 9 CPP.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149 IV 128 consid. 1.2 ;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déduit de l'art. 29 al. 2 de la Constitution fédérale de la Confédération suisse ([Cst.] ; droit d'être entendu), de l'art. 32 al. 2 Cst. (droit d'être informé, dans les</w:t>
      </w:r>
    </w:p>
    <w:p>
      <w:r>
        <w:t>- 12/31 - P/12018/2020 plus brefs délais et de manière détaillée, des accusations portées contre soi) et de l'art. 6 par. 3 let. a de la Convention de sauvegarde des droits de l'homme et des libertés fondamentales ([CEDH ; droit d'être informé de la nature et de la cause de l'accusation ; arrêts du Tribunal fédéral 6B_1183/2023 du 19 janvier 2024 consid. 2.1.1, 6B_550/2021 du 19 janvier 2022 consid. 2.1 et 6B_1435/2020 du 8 décembre 2021 consid. 1.1).</w:t>
      </w:r>
    </w:p>
    <w:p>
      <w:r>
        <w:t>2.1.2. Les art. 324 ss CPP règlent la mise en accusation, en particulier le contenu de l'acte d'accusation. Selon l'art. 325 CPP, l'acte d'accusation désigne notamment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au prévenu (arrêts du Tribunal fédéral 6B_1183/2023 du 19 janvier 2024 consid. 2.1.1 et 6B_152/2020 du 1er avril 2020 consid. 2.1). Il convient de rappeler que la teneur de l'acte d'accusation ne constitue pas une fin en soi, mais vise seulement à circonscrire l'objet du procès et à informer le prévenu de ce qui lui est reproché afin qu'il puisse se défendre efficacement (arrêts du Tribunal fédéral 6B_974/2024 du 19 mars 2025 consid. 2.3 ; 6B_1254/2022 du 16 juin 2023 consid. 3.3 ; 6B_1404/2021 du 8 juin 2022 consid. 2.3). 2.1.3. En substance, il est reproché aux appelants d’avoir, de concert et à deux reprises, importé sur le territoire suisse une importante quantité de cristaux de méthamphétamine pouvant porter atteinte à la santé de nombreuses personnes, ce qu’ils savaient ou ne pouvaient ignorer. Les appelants ne pouvaient avoir de doutes quant aux comportements qui leur étaient reprochés, soit l’importation et la détention d’une quantité importante de méthamphétamine, l’acte d’accusation décrivant brièvement les faits litigieux, ce qui leur a permis d'être suffisamment renseignés sur l'accusation portée à leur encontre et les agissements reprochés. Ils ont ainsi pu préparer leur défense en conséquence, conformément à l’argumentation qu’ils ont développée. Les jurisprudences citées par la défense, telles que l’arrêt du Tribunal fédéral 6B_1335/2016 consid. 2.4 du 5 septembre 2017, ne leur sont d’aucun secours, sachant qu’à teneur de cet arrêt, l’acte d’accusation se bornait à renvoyer à l'art. 19 al. 1 let. a à f LStup, évoquant de manière générale une participation à un trafic de stupéfiants, sans décrire précisément le comportement prohibé au sens de l’une des lettres de ladite disposition légale. Or, en l’occurrence, l’acte d’accusation a correctement décrit et circonscrit l’attitude jugée illégale, aux yeux du Ministère public, en réprimant l’importation et la détention d’une quantité importante de stupéfiants, violant l’art. 19 al. 1 let. b et d et al. 2 let. a LStup. L’acte d’accusation n’évoque pas la remise à des tiers au sens de la lettre c de ladite loi, pour laquelle les prévenus n’ont d’ailleurs pas été condamnés par le TP. Il n'apparaît ainsi pas que le Ministère public ait entendu retenir cette dernière infraction.</w:t>
      </w:r>
    </w:p>
    <w:p>
      <w:r>
        <w:t>- 13/31 - P/12018/2020 Il s'ensuit que le grief tiré de la violation du principe d'accusation est mal fondé et doit être rejeté. 2.2.1.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144 IV 345 consid. 2.2.3.3). 2.2.2. Quiconque, sans droit, entrepose, expédie, transporte, importe, exporte des stupéfiants ou les passe en transit (let. b) ou possède, détient ou acquiert des stupéfiants ou s'en procure de toute autre manière (let. d) est passible d'une peine de droit (art. 19 al. 1 LStup). Cette disposition vise tous les actes caractéristiques du commerce, qui interviennent avant la vente proprement dite. Elle réprime notamment l'importation, qui est un cas de transport qui se caractérise par le fait que la drogue est introduite en Suisse en provenance d'un pays étranger (B. CORBOZ, Les infractions en droit suisse, Volume II, 3ème éd., Berne 2010, n. 24 et 30 ad art. 19). 2.2.3. L’art. 19a al. 1 LStup prévoit que quiconque, sans droit, commet une infraction à l’art. 19 pour assurer sa propre consommation est passible d’une amende. Il ne suffit pas pour l’auteur d’alléguer qu’il détient des stupéfiants pour sa simple consommation pour se voir ipso facto appliquer la contravention de l’art. 19a LStup. En effet, en fonction du lieu de détention et des explications peu crédibles, la détention délictuelle peut être retenue au sens de l'art. 19 al. 1 let. d LStup (S. GRODECKI / Y. JEANNERET, Petit commentaire LStup : dispositions pénales, Bâle, 2022, n. 35 ad art. 19 ; arrêt du Tribunal fédéral 6B_1130/2020 consid. 1.3 et 1.4). 2.2.4. Si l'auteur acquiert un stupéfiant pour en vendre une partie et en consommer l'autre partie, il commet, en concours idéal, des infractions à l'art. 19 LStup et à l'art. 19a LStup (ATF 145 IV 312 consid. 2.1.1). 2.2.5. L'art. 19 al. 2 let. a LStup érige en circonstance aggravante le fait que l'auteur ait su ou n'ait pu ignorer que son acte pouvait directement ou indirectement mettre en</w:t>
      </w:r>
    </w:p>
    <w:p>
      <w:r>
        <w:t>- 14/31 - P/12018/2020 danger la santé de nombreuses personnes. Tel est notamment le cas lorsque la quantité en cause est d'au moins 12 grammes de méthamphétamine pure (ATF 145 IV 312). Si l'examen de la quantité pure est impossible à faire – dès lors que la drogue n'a pas pu être saisie – le juge peut admettre sans arbitraire, en l'absence d'autres éléments, que celle-ci était d'une qualité moyenne et se référer au degré de pureté habituel sur le marché à l'époque et au lieu en question (ATF 138 IV 100 consid. 3.2 et 3.5). À cet égard, il peut prendre appui sur les données statistiques recueillies par la Société suisse de médecine légale (SSML) qui est un organisme reconnu et qui a retenu un taux de pureté moyen de 77% en 2016 s’agissant du crystal meth (ATF 145 IV 312 consid. 2.3). La circonstance aggravante a été retenue eu égard à la quantité qui peut abstraitement mettre en danger la vie de nombreuses personnes. Il n’est pas nécessaire de démontrer que la quantité a été concrètement distribuée à de nombreuses personnes pour que la circonstance aggravante soit applicable (arrêt du Tribunal fédéral 6B_1441/2019 consid. 2). La possession d'une quantité qualifiée de drogue peut donc déjà constituer une mise en danger suffisante au sens de l'art. 19 al. 2 let. a LStup (S. GRODECKI / Y. JEANNERET, op. cit., n. 84 ad art. 19). À noter que les stupéfiants qui ont fait l’objet de plusieurs transactions doivent être pris en compte globalement pour décider de l’existence d’un cas grave, même si entre les diverses opérations, il n’existe qu’une relation de répétition et non de continuité. Il faut donc additionner les quantités de drogue, sur une période pénale donnée, émanant d’actes distincts pour appliquer l’art. 19 al. 2 let. a LStup (S. GRODECKI / Y. JEANNERET, op. cit., n. 67 ad art. 19). 2.2.6. L'infraction est intentionnelle, le dol éventuel étant suffisant. La négligence n'est pas réprimée (S. GRODECKI / Y. JEANNERET, op. cit., n. 101 et 104 ad art. 19). 2.2.7. En l’espèce, l'appelant A______ ne conteste plus, à juste titre, avoir importé sur le territoire suisse des cristaux de méthamphétamine, les 25 janvier et 6 juillet 2020, d’une quantité brute de cinq grammes puis de 43.88 grammes. Il prétend avoir agi de la sorte afin d’assurer sa consommation personnelle. Or, lors de la perquisition domiciliaire, aucun matériel destiné à fumer du cristal de méthamphétamine n’a été retrouvé. Interrogé sur la fréquence de sa consommation, l’appelant était dans l’incapacité de communiquer une quelconque information quant à la régularité de sa prise, ou de fournir une description de l’odeur qui se dégageait de la substance. Ce n’est qu’une fois que le MP lui avait rappelé ses précédentes déclarations qu’il les a alors confirmées, évoquant une consommation matinale systématique avant d’aller au travail. Vu son impossibilité à répondre à des questions simples et son absence de spontanéité, sa crédibilité est fortement entachée au sujet de sa consommation personnelle.</w:t>
      </w:r>
    </w:p>
    <w:p>
      <w:r>
        <w:t>- 15/31 - P/12018/2020 À teneur de ses explications, sa compagne, laquelle vit avec lui depuis plus de 20 ans dans un studio, ne l’a jamais vu consommer de cristaux de méthamphétamine, ni même senti l’odeur d’une telle substance brûlée voire fumée au domicile. Cela interpelle, sachant que la consommation d’une telle drogue répand généralement une forte odeur de plastique brûlé ou de produit de nettoyage chimique, qui ne passe pas inaperçue. L’appelant a lui-même indiqué avoir procédé à une commande « test » le 25 janvier 2020 afin de vérifier si la drogue pouvait être transportée et introduite sur le territoire suisse par voie postale. Ce n’est qu’une fois le test passé avec succès qu’il a commandé une quantité supérieure. Ses déclarations ne correspondent pas à celles d’une personne qui achèterait uniquement pour sa consommation personnelle mais plutôt à celles d’un trafiquant qui examine les voies d’importation possibles, d’autant que la quantité commandée le 6 juillet 2020 ne coïncide pas avec celle d’une dose individuelle et irrégulière, comme il le prétend. Au vu de l’ensemble des éléments, la drogue importée en Suisse les 25 janvier et</w:t>
      </w:r>
    </w:p>
    <w:p>
      <w:r>
        <w:rPr>
          <w:b/>
        </w:rPr>
        <w:t>E. 6</w:t>
      </w:r>
    </w:p>
    <w:p>
      <w:r>
        <w:t>juillet 2020 n’était pas destinée à la consommation personnelle de l’appelant, ce qui correspond d’ailleurs au contenu de sa déclaration d’appel, à teneur de laquelle il sollicitait un verdict de culpabilité du chef d'infraction à l’art. 19 al. 1 let. b LStup, sans évoquer le concours avec l’art. 19a LStup. Il est ainsi établi que l’appelant A______ a volontairement commandé, à deux reprises, des cristaux de méthamphétamine auprès d’un fournisseur en Thaïlande, domicilié dans la ville de F______, lieu où les colis ont été pris en charge par voie postale et expédiés au domicile genevois de l’appelant. Ce dernier a d’ailleurs avancé l’argent, puis en guise de preuve de paiement, a systématiquement remis une photographie des quittances des transferts des fonds à son expéditeur thaïlandais afin de l’assurer de la bonne exécution de sa part du contrat, le déterminant ainsi à lui envoyer les stupéfiants. Ce mode opératoire a été identique à chaque occurrence, tel qu’il ressort des données téléphoniques de l’intéressé. Le comportement de l’appelant est constitutif d’une importation illicite de produits stupéfiants, ce qu’il finit par reconnaître à la lecture de sa déclaration d’appel. Les explications fluctuantes données par l’appelant, au sujet des montants importants transférés et des motifs de paiement, ne sont pas crédibles. Sa capacité financière est obérée de manière évidente, l’appelant étant au bénéfice de l’aide sociale depuis de nombreuses années. Dès lors, il a tenté de justifier les montants versés, qui dépassaient son solde mensuel disponible, en prétendant que des amis, dont il ne dit rien, voire la mère de l’expéditeur thaïlandais, auraient contribué à réunir de telles sommes. Or, au début de la procédure, il avait indiqué que cette mère vivait en Thaïlande, puis au fil du temps, il a prétendu qu’elle vivait à Genève et qu’elle lui aurait même remis de l’argent, en le rencontrant « par hasard » dans une épicerie thaïlandaise à Genève, afin qu’il le reverse à son fils. De telles allégations ne convainquent pas. Il est peu vraisemblable qu’une dame, qui ne le connaît pas, lui remette des fonds importants</w:t>
      </w:r>
    </w:p>
    <w:p>
      <w:r>
        <w:t>- 16/31 - P/12018/2020 pour les transférer à son fils, alors qu’ils n’avaient pas prévu initialement de se rencontrer. L’appelant a ainsi versé de l’argent pour acheter de la drogue, selon un modus operandi bien précis, laquelle lui a ensuite été expédiée depuis la Thaïlande. La quantité de stupéfiants importée le 25 janvier 2020 est indéterminée, tel qu’il ressort de l’acte d’accusation. À l’examen des montants versés au fournisseur avant l’expédition du colis litigieux, il est vrai, comme le rappelle le MP, qu’on pourrait supposer qu’une quantité importante de drogue aurait été importée sur le territoire suisse. En effet, le montant versé correspond approximativement à la somme transférée en fin juin 2020, avant l’importation d’environ 44 grammes bruts de cristaux de méthamphétamine. Cela étant, un doute subsiste quant à la quantité exacte transportée le 25 janvier 2020. Aussi, ce doute doit profiter à l’accusé et la quantité de cinq grammes sera retenue, conformément aux déclarations faites par ce dernier. Grâce à la saisie du colis le 6 juillet 2020 par l’AFD, il est établi et non contesté qu’une quantité brute de 43.88 grammes de cristaux de méthamphétamine, au taux de pureté moyen de 79.4%, a été importée de manière illicite sur le territoire suisse. S’agissant de la drogue du 25 janvier 2020, il faut retenir qu’en l'absence d'autre élément objectif, elle présentait un degré de pureté moyen de 77%, tel que retenu par la jurisprudence. Partant, cette quantité saisie le 6 juillet 2020 correspond à 34.84 grammes purs (43.88 gr. x 79.4%), auquel il faut ajouter 3.85 gr. purs (5 gr. x 77%), soit un total de 38.69 grammes purs. Au vu de ce qui précède, la circonstance aggravante doit être retenue, eu égard à la quantité dépassant largement les 12 grammes purs et pouvant abstraitement mettre en danger la vie de nombreuses personnes. L’appel de A______ sera rejeté et le jugement entrepris sera confirmé. 2.2.8. L’appelante D______ conteste toute participation à un quelconque trafic de stupéfiants, indiquant n’avoir eu aucune connaissance des contenus des colis importés. Les deux colis en provenance de Thaïlande étaient systématiquement expédiés depuis F______, par le même fournisseur, et ils étaient tous deux adressés à l’appelante. Quatre boîtes et autant de statuettes à l’effigie de Buddha, toutes similaires à celles saisies le 6 juillet 2020 en main de l’AFD, ont été découvertes lors de la perquisition domiciliaire, étant précisé que les doubles fonds des écrins avaient visiblement été ouverts pour en permettre l’accès. L’appelante a concédé avoir été informée de l’expédition du colis du 25 janvier 2020, admettant l’avoir récupéré à la poste, avec son compagnon, et avoir été dans l’attente de la réception de celui du 6 juillet 2020. Elle a déclaré qu’elle ne posait aucune question à son ami intime, quant aux raisons qui le motivaient à importer régulièrement de telles statuettes, ni même sur les motifs</w:t>
      </w:r>
    </w:p>
    <w:p>
      <w:r>
        <w:t>- 17/31 - P/12018/2020 qui le conduisaient à inscrire son nom sur ces colis qui ne lui étaient pas destinés, alors même qu’ils s’étaient rendus ensemble à la poste pour retirer celui du 25 janvier 2020. L’absence de toute interrogation interpelle, surtout sachant qu’ils vivaient en concubinage qualifié depuis près de 24 ans, dans la promiscuité d’un studio et qu’ils n’exerçaient pas d’activité lucrative régulière, ce qui rend un tel silence artificiel et peu vraisemblable. Elle a également admis avoir versé diverses sommes (un total de CHF 1'810.- en 2019) à l’attention de H______, qu’elle ne connaissait pas, toujours sur instruction de son compagnon, soi-disant pour l’achat de produits cosmétiques pour la peau et les cheveux. Confrontée à la disproportion entre le montant total versé à H______ et les objets commandés, de surcroît en Thaïlande où le coût de la vie est notoirement plus faible qu’en Suisse, l’appelante a immédiatement amplifié les achats, précisant que des médicaments avaient également été commandés. Au fil de la procédure, elle a encore ajouté d’autres motifs, à savoir qu’une partie des fonds devait être remise à la mère de H______ (pièce C-106), laquelle vivait au pays, ainsi qu’à des amis pour qui elle effectuait un transfert de fonds rémunéré (cf. PV TP page 111). Or, au cours de l’instruction, l’appelant a affirmé que la mère de H______ vivait à Genève (C-255) et qu’elle aurait contribué à récolter des fonds pour les expédier à son fils. Ces contradictions et variations montrent une inconsistance des propos des appelants, qui adaptent leurs réponses au fil des questions posées, affaiblissant ainsi leur crédibilité. En outre, les nombreux messages contenus dans le téléphone de l’appelante et échangés au moyen des réseaux sociaux utilisent un langage codé, secret, peu compatible avec un simple commerce de nourriture thaïe. L’appelante a d’abord prétendu ne pas connaître « N______ » (identifiée comme étant N______) (C-106). Puis, confrontée aux nombreux messages échangés avec cette dernière, elle a admis la connaître, indiquant même qu’il s’agissait d’une de ses amies pour qui elle cuisinait divers mets thaïlandais, sur demande. Cependant, l’analyse des communications démontre que celle-ci commandait ses « mets » auprès d’autres fournisseurs également et le faisait aussi pour l’appelante, ce qui interroge sur la nécessité de cette dernière d’acheter des plats cuisinés auprès d’autres marchands. En outre, l’appelante a également prétendu ne pas connaître « L______ 2 » (C-107 et C- 108) (identifié comme étant M______), puis confrontée aux nombreux messages téléphoniques, elle a déclaré que « L______ 2 » lui aurait demandé, de manière hypothétique, si elle pouvait cuisiner des pâtes de piment, s’il lui trouvait des clients (C-259), sans donner plus d’information à cet égard, par exemple s’il lui avait trouvé des clients ou si elle avait accepté sa proposition et les modalités de leur accord. Ces déclarations ne sont pas confirmées par l’intéressé qui a indiqué avoir été mandaté par l’appelante en qualité de livreur, chargé de transporter les repas qu’elle cuisinait pour ses clients, étant précisé qu’elle le rémunérait à la fin du mois. Or, les explications des deux intéressés, qui divergent entre elles, montrent que l’appelante a tenté de travestir ses activités. En effet, si l’appelante n’avait rien à se reprocher, elle n’aurait pas nié connaître « L______ 2 » avec qui elle avait échangé de très nombreux messages. Ensuite, à la</w:t>
      </w:r>
    </w:p>
    <w:p>
      <w:r>
        <w:t>- 18/31 - P/12018/2020 lecture des messages, on constate que « L______ 2 » lui passait de nombreuses commandes, toujours de manière télégraphique, indiquant essentiellement les quantités souhaitées (par exemple 50 ; 70 ; 100), sans mentionner le contenu. Enfin, l’appelante, invitée à se déterminer sur un message (C-176) où elle mentionnait uniquement une quantité égale à 0.54 (sans indication d’une mesure du poids), a expliqué que chaque récipient de sauce pesait 50 grammes et que celui-ci était de 54 grammes, raison pour laquelle elle se serait enquise de l’acceptation de ce surpoids de quatre grammes. Selon elle, 0.54 correspondait à 54 grammes, alors même que cette mesure n’était pas mentionnée et que les chiffres ne coïncident pas. Au vu de l’ensemble des éléments qui précède et des explications peu vraisemblables données par l’appelante, il faut retenir que cette dernière ne revêt pas le rôle d’une personne qui ne savait rien du trafic de stupéfiants, comme elle n’a cessé de l’affirmer tout au long de la procédure, mais bien d’un individu informé du trafic de cristaux de méthamphétamine, ayant activement participé en allant chercher à la poste les colis importés de Thaïlande, en coactivité avec son compagnon A______. Les appels sont rejetés, confirmant le jugement entrepris. 3. Les infractions à l'art. 19 al. 1 let. b et al. 2 let. a LStup sont punies d'une peine privative de liberté d’un an au moins, tandis que l’infraction à l’art. 33 al. 1 let. a aLArm est passible d’une peine privative de liberté de trois ans au plus ou d'une peine pécuniaire. 3.1.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w:t>
      </w:r>
    </w:p>
    <w:p>
      <w:r>
        <w:t>- 19/31 - P/12018/2020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 même toxicomane et agit pour financer sa propre consommation de celui qui participe à un trafic uniquement poussé par l'appât du gain (arrêt du Tribunal fédéral 6B_912/2023 du 18 octobre 2023 consid. 3.1.1). L'art. 47 CP confère un large pouvoir d'appréciation au juge (ATF 144 IV 313 consid. 1.2). 3.2.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3.3. Aux termes de l'art. 42 al. 1 CP, le juge suspend en règle générale l'exécution d'une peine pécuniaire ou d'une peine privative de liberté de deux ans au plus lorsqu'une peine ferme ne paraît pas nécessaire pour détourner l'auteur d'autres crimes ou délits. L'octroi du sursis partiel est exclu si, durant les cinq ans qui précèdent l'infraction, l'auteur a été condamné à une peine privative de liberté ferme ou avec sursis de plus de six mois, sauf s'il justifie de circonstances particulièrement favorables, au sens de l’art. 42 al. 2 CP.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- 20/31 - P/12018/2020 Pour le Tribunal fédéral, lorsqu’il est question de peine privative de liberté d’un à deux ans, le sursis au sens de l’article 42 CP s’impose en principe et le sursis partiel se conçoit comme une exception ((M. DUPUIS et al., Petit commentaire CP, 2ème éd. 2017, n. 6 ad art. 43 CP). 3.4. La culpabilité de l'appelant est importante. Il a importé d’importantes quantités de cristaux de méthamphétamine depuis l’étranger, selon un modus operandi bien précis, étant souligné qu’il s’agit d’une drogue particulièrement addictive. Il a, de la sorte, participé au trafic de stupéfiants, en coactivité avec sa compagne, au détriment de la santé publique, contribuant ainsi au fléau que représente la consommation de cette substance. Ses actes sont motivés par l'appât du gain, mobile égoïste. Sa collaboration est mauvaise, l’intéressé ayant varié dans ses déclarations tout au long de la procédure jusqu’en première instance. Ce n’est qu’en appel qu’il a admis l’importation des cristaux de méthamphétamine, tout en prétendant qu’ils étaient destinés à sa consommation personnelle. Sa prise de conscience est, partant, au stade embryonnaire. La situation personnelle de l'appelant, certes peu florissante, vraisemblablement en raison de son manque d’intégration et de l’absence de maîtrise de la langue française, ne justifie en rien ses actes. Il bénéficie d’un permis de séjour de type C et de l’aide financière de l’Hospice général et ce, depuis de très nombreuses années, ce qui aurait dû le maintenir éloigné de tout comportement pénalement répréhensible. Il a trois condamnations inscrites au casier judiciaire suisse, entre 2013 et 2018, pour des violations systématiques d’une obligation d’entretien. Au vu de l'ensemble des éléments qui précèdent, une peine privative de liberté est adéquate pour sanctionner les violations à la LStup et à la LArm, notamment pour des motifs de prévention spéciale. Il y a donc concours d'infractions passibles de peines de même genre. L’infraction à la LStup, commises à deux reprises, est abstraitement la plus grave et justifie le prononcé d’une peine de base de 16 mois pour l’importation du 6 juillet 2020, auquel on ajoute deux mois (peine théorique de trois mois) pour l’importation internationale du 25 janvier 2020 et encore deux mois pour la violation à la LArm (peine théorique de trois mois). La peine prononcée par le TP est justifiée et sera ainsi confirmée. 3.5. L’appelant n’a jamais été condamné à une peine supérieure à six mois et aucun élément ne permet de poser un pronostic défavorable qui justifierait le prononcé d’une peine privative de liberté assortie du sursis partiel. Aussi, la peine de 20 mois sera assortie du sursis complet. L’appel joint du MP sera rejeté sur ce point.</w:t>
      </w:r>
    </w:p>
    <w:p>
      <w:r>
        <w:t>- 21/31 - P/12018/2020 La durée du délai d'épreuve de trois ans, adéquate au vu des infractions réalisées, est acquise à l'appelant A______ (art. 391 al. 2 CPP). 3.6. La culpabilité de D______ est également importante. Elle a agi en coactivité avec son compagnon, sur une période pénale de six mois, en important des quantités de cristaux de méthamphétamine d’un taux de pureté important depuis la Thaïlande, selon un modus operandi bien précis. Il s’agit d’une drogue particulièrement addictive qui fait des ravages au sein de la population. Elle a ainsi agi au détriment de la santé publique, contribuant au maintien du fléau que représente la consommation de cette substance. Ses actes sont motivés par l'appât du gain, mobile égoïste. Sa collaboration est nulle, ayant constamment nié toute implication jusqu’en appel, malgré les éléments au dossier, donnant des explications invraisemblables, heurtant le bon sens. Sa prise de conscience est inexistante. La situation personnelle de l'appelante, certes précaire, ne justifie en rien ses actes. Elle possède un passeport suisse et bénéficie de l’aide financière de l’Hospice général depuis de très nombreuses années. Elle est sans antécédent, ce qui est un facteur neutre. Au vu de l'ensemble des éléments et de la gravité des infractions commises, une peine privative de liberté est également adéquate pour sanctionner les deux violations à la LStup, notamment pour des motifs de prévention spéciale. L’infraction à la LStup, commises à deux reprises, est abstraitement la plus grave et justifie le prononcé d’une peine de base de 16 mois pour l’importation du 6 juillet 2020, auquel on ajoute deux mois (peine théorique de trois mois) pour celle du 25 janvier 2020. La peine prononcée par le TP est justifiée et sera ainsi confirmée. Le sursis, dont la durée du délai d'épreuve de trois ans est adéquate au vu des infractions réalisées, est acquis à l'appelante D______ (art. 391 al. 2 CPP). Les appels et l'appel joint du MP seront dès lors rejetés. 4. 4.1.1. Selon l'art. 66a al. 1 let. o CP, l'étranger qui est reconnu coupable d’infraction à l’art. 19 al. 2 de la loi fédérale sur les stupéfiants est obligatoirement expulsé de Suisse pour une durée minimale de cinq ans. 4.1.2. L'art. 66a al. 2 CP prévoit que le juge peut exceptionnellement renoncer à une expulsion lorsque celle-ci mettrait l'étranger dans une situation personnelle grave et que les intérêts publics à l'expulsion ne l'emportent pas sur l'intérêt privé de celui-ci</w:t>
      </w:r>
    </w:p>
    <w:p>
      <w:r>
        <w:t>- 22/31 - P/12018/2020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7B_1317/2024 du 11 février 2025 consid. 2.2.1 ; 6B_945/2024 du 3 février 2025 consid. 2.3.1 et 2.3.2; 6B_703/2024 du 31 janvier 2025 consid. 2.1.2). 4.1.3.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(cf. AARP/389/2021 du 10 décembre 2021, consid. 4.1.4). 4.1.4. La jurisprudence du Tribunal fédéral reconnaît, en matière de drogue, l'existence d'intérêts publics importants à l'expulsion, compte tenu en particulier des ravages qu'elle provoque dans la population, alors que la Cour européenne des droits de l'homme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 4.1.5.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7B_728/2023 du 30 janvier 2024 consid. 3.6.1 ; 6B_1079/2022 du 8 février 2023 consid. 9.2.1 ; 6B_924/2021 du 15 novembre 2021 consid. 4.3 et 4.4). 4.1.6. En l'espèce, il s'agit d'un cas d'expulsion obligatoire. La défense de A______ plaide la clause de rigueur. S'agissant de son intérêt privé à demeurer en Suisse, s'il apparaît qu'il y réside depuis plus de 30 ans - ce qui est considérable -, il n’est absolument pas intégré au tissu social</w:t>
      </w:r>
    </w:p>
    <w:p>
      <w:r>
        <w:t>- 23/31 - P/12018/2020 suisse. Il ne parle pas le français, malgré ce qu’il prétend, ne travaille pas depuis de nombreuses années et vit grâce à l’aide sociale. Le fait qu’il se renseigne actuellement pour suivre des cours de français en dit long sur sa réelle volonté de s’intégrer, mû sans doute par les besoins de la cause. En outre, il a des dettes, en partie prises en charge par l’Hospice général. Son intégration sociale apparaît donc inexistante, hors de sa sphère familiale. Dans l'ensemble, ses perspectives d'insertion future en Suisse sont particulièrement mauvaises, un renvoi vers la Thaïlande apparaissant hautement vraisemblable. Même si son réseau social dans ce dernier État semble modeste, il y a tout de même vécu pendant 19 ans, puis y est retourné vivre une année avec sa fille et sa compagne. Il en maîtrise la langue et il a encore des cousins et des amis avec lesquels il communique toujours par internet, comme il l’a pertinemment souligné en appel. On ne se trouve donc pas dans un cas où un national ne disposerait que de liens purement théoriques avec l'État dont il est ressortissant. La présence en Suisse de ses deux enfants majeurs, auquel il ne fournit aucune contribution financière, étant encore précisé que sa fille n’a pas été reconnue officiellement par ses soins et a été placée en foyer d’accueil dès ses six ans, ne fonde pas un rattachement entre ce dernier et cet État. En outre, la relation de concubinage qu’il prétend avoir avec l’appelante est remise en doute par les propos de sa fille, qui le fréquente régulièrement et qui ne verrait plus sa compagne. Quoi qu’il en soit et à supposer que le couple soit toujours uni, l’appelante possède également la nationalité thaïlandaise et pourrait le suivre en Thaïlande, sachant que ses propres enfants vivent également au pays et qu’elle n’exerce aucune activité lucrative en Suisse. Enfin, la prétendue fragilité médicale du condamné n’est pas démontrée, au-delà de prises de rendez-vous très récentes, qui coïncident avec la date de l’audience d’appel, étant encore relevé qu’aucun diagnostic n’a été posé au jour de la clôture des débats. À toutes fins utiles, il sied de relever que le Programme des Nations Unies pour le développement considère la Thaïlande comme ayant atteint un haut stade de développement humain (cf. https://hdr.undp.org/data-center/specific-country- data#/countries/THA ; consulté pour la dernière fois le 18 novembre 2025), ce qui permet à l’appelant de poursuivre un éventuel traitement médical dans ce pays. Il n'appert pas, après une pesée des intérêts, que l'expulsion constituerait une ingérence importante dans le droit au respect de sa vie privée et familiale du condamné. Son intérêt privé à demeurer en Suisse ne l'emporte pas sur l'intérêt public à l'en éloigner, compte tenu de sa culpabilité, eu égard aux infractions graves à la LStup commises à deux reprises sur une période pénale de six mois et ayant eu des ramifications internationales, qui justifie le prononcé d’une mesure d’expulsion obligatoire afin de sanctionner, avec une grande fermeté, le fléau humain causé par ce trafic de stupéfiants. Les conditions de la clause de rigueur ne sont par conséquent pas réalisées.</w:t>
      </w:r>
    </w:p>
    <w:p>
      <w:r>
        <w:t>- 24/31 - P/12018/2020 L'appelant sera expulsé de Suisse. La durée de cette mesure a été fixée au minimum légal par le premier juge. Elle est donc conforme au principe de proportionnalité et sera confirmée. L'appel sera rejeté sur ce point également. 4.2.1.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4.2.2.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4.2.3.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w:t>
      </w:r>
    </w:p>
    <w:p>
      <w:r>
        <w:t>- 25/31 - P/12018/2020 4.2.4. Au vu des infractions graves commises à la LStup, constituant une menace pour l'ordre public et la santé publique, et vu la peine concrètement prononcée, il se justifie d’inscrire au SIS l'expulsion de Suisse de l'appelant. L'appel est entièrement rejeté et le jugement confirmé. 5. Vu le verdict et la peine infligée, les conclusions en indemnisation de l'appelante D______ seront rejetées (art. 429 CPP).</w:t>
      </w:r>
    </w:p>
    <w:p>
      <w:r>
        <w:rPr>
          <w:b/>
        </w:rPr>
        <w:t>E. 6.1</w:t>
      </w:r>
    </w:p>
    <w:p>
      <w:r>
        <w:t>Selon l'art. 426 al. 1 CPP, le prévenu supporte les frais de procédure s'il est condamné. Selon l'art. 428 al. 1 première phrase CPP, les frais de la procédure de recours sont mis à la charge des parties dans la mesure où elles ont obtenu gain de cause ou succombé. Seul le résultat de la procédure d'appel elle-même est ainsi déterminant (ATF 142 IV 163 consid. 3.2.1).</w:t>
      </w:r>
    </w:p>
    <w:p>
      <w:r>
        <w:rPr>
          <w:b/>
        </w:rPr>
        <w:t>E. 6.2</w:t>
      </w:r>
    </w:p>
    <w:p>
      <w:r>
        <w:t>Dans la mesure où tant les appelants que l’appelant joint ont succombé, les frais de procédure d’appel, lesquels comprennent un émolument d'arrêt de CHF 1'500.-, seront répartis à part égale entre eux, chacun des appelants supportant un tiers des frais, le solde étant laissé à la charge de l’État.</w:t>
      </w:r>
    </w:p>
    <w:p>
      <w:r>
        <w:rPr>
          <w:b/>
        </w:rPr>
        <w:t>E. 6.3</w:t>
      </w:r>
    </w:p>
    <w:p>
      <w:r>
        <w:t>Il n'y a pas lieu de revoir la répartition des frais de la procédure préliminaire et de première instance. L'émolument complémentaire de jugement du TP (CHF 1'000.-) mis à la charge des appelants, à raison d’une moitié chacun, sera confirmé.</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w:t>
      </w:r>
    </w:p>
    <w:p>
      <w:r>
        <w:t>- 26/31 - P/12018/2020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7.4.1. Considéré globalement, l'état de frais produit par Me E______, défenseur d'office de D______ satisfait les exigences légales et jurisprudentielles régissant l'assistance judiciaire gratuite en matière pénale. Il convient cependant de le compléter de quatre heures d’audience d’appel et d’une vacation à la Cour, au tarif du stagiaire.</w:t>
      </w:r>
    </w:p>
    <w:p>
      <w:r>
        <w:t>La rémunération de Me E______ sera partant arrêtée à CHF 1'866.90 correspondant à une heure d'activité au tarif de CHF 200.-/heure ainsi que 12 heures d’activité au tarif de CHF 110.-/heure (CHF 1'320.-), plus la majoration forfaitaire de 10% (CHF 152.-), une vacation à CHF 55.- et l'équivalent de la TVA au taux de 8.1% en CHF 139.90.</w:t>
      </w:r>
    </w:p>
    <w:p>
      <w:r>
        <w:t>- 27/31 - P/12018/2020 7.4.2. S’agissant de l'état de frais produit par Me C______, défenseure d'office de A______, le temps consacré à l'analyse du dossier des 9 avril, 21 juillet, 26 août, 28 août et 17 octobre 2025, soit après la notification du jugement motivé du TP, n'est pas justifié par les besoins de la cause et ne sera pas indemnisé, étant rappelé que le dossier est peu volumineux et était déjà connu du mandataire d'office qui l’avait plaidé en première instance. Il convient toutefois de le compléter de quatre heures d’audience d’appel et d’une vacation à la Cour, au tarif de collaboratrice. En conclusion, la rémunération sera arrêtée à CHF 2'739.30, correspondant à 13 heures et 15 minutes d'activité au tarif de CHF 150.-/heure (CHF 1'987.50), plus la majoration forfaitaire de 20% (CHF 397.50), ainsi qu’une vacation à CHF 75.- et l'équivalent de la TVA au taux de 8.1% en CHF 199.30, auquel il convient d’ajouter CHF 80.- de frais d’interprète. * * * * *</w:t>
      </w:r>
    </w:p>
    <w:p>
      <w:r>
        <w:t>- 28/31 - P/12018/2020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