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AARP/442/2014 vom 16. Oktober 2014</w:t>
      </w:r>
    </w:p>
    <w:p>
      <w:r>
        <w:t>GE Cour de justice, 2014-10-16, FR</w:t>
      </w:r>
    </w:p>
    <w:p>
      <w:r>
        <w:rPr>
          <w:b/>
        </w:rPr>
        <w:t xml:space="preserve">Quelle: </w:t>
      </w:r>
      <w:r>
        <w:t>https://mcp.opencaselaw.ch/entscheid/ge_gerichte_AARP_442_2014</w:t>
      </w:r>
    </w:p>
    <w:p>
      <w:r>
        <w:t>FR: GE_GERICHTE AARP/442/2014 du 16 octobre 2014</w:t>
      </w:r>
    </w:p>
    <w:p>
      <w:r>
        <w:t>IT: GE_GERICHTE AARP/442/2014 del 16 ottobre 2014</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Lorsqu'une partie conclut à son acquittement et déclare attaquer le jugement dans son ensemble, la juridiction d'appel, qui dispose d'un plein pouvoir d'examen et applique le droit d'office, est tenue d'examiner d'office la quotité de la peine, l'appel étant compris comme portant sur l'ensemble du jugement, à moins que l'appelant n'ait précisé le contraire (arrêt du Tribunal fédéral 6B_547/2012 du 26 mars 2013 consid. 3.3).</w:t>
      </w:r>
    </w:p>
    <w:p>
      <w:r>
        <w:t>- 5/12 - P/17549/2013</w:t>
      </w:r>
    </w:p>
    <w:p>
      <w:r>
        <w:rPr>
          <w:b/>
        </w:rPr>
        <w:t>E. 1.3</w:t>
      </w:r>
    </w:p>
    <w:p>
      <w:r>
        <w:t>La Chambre limite son examen aux violations décrites dans l'acte d'appel (art. 404 al. 1 CPP), sauf en cas de décisions illégales ou inéquitables (art. 404 al. 2 CPP). 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2.1</w:t>
      </w:r>
    </w:p>
    <w:p>
      <w:r>
        <w:t>L’appelant soutient que l’interdiction de la mendicité constitue une atteinte inadmissible à sa liberté d’expression, et en particulier, de communication.</w:t>
      </w:r>
    </w:p>
    <w:p>
      <w:r>
        <w:rPr>
          <w:b/>
        </w:rPr>
        <w:t>E. 2.2</w:t>
      </w:r>
    </w:p>
    <w:p>
      <w:r>
        <w:t>Selon l'art. 10 § 1 de la Convention de sauvegarde des droits de l’homme et des libertés fondamentales du 4 novembre 1950 (CEDH ; RS 0.101),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Dans un arrêt du 30 juin 2012 (G155/10-9), la Cour constitutionnelle autrichienne a fait la distinction entre la mendicité active et la mendicité passive, soit entre le fait de demander l'aumône de façon agressive et le fait de le faire de manière discrète et non agressive, par des paroles, des symboles ou par d'autres formes d'expression. Ladite Cour a considéré que l'interdiction absolue de la mendicité, sans distinction aucune entre mendicité passive et active, constituait une violation de la liberté d'expression. Elle a expliqué que le fait de mendier doit être considéré comme la simple expression d'une réalité, soit que la personne mendiante est dans l'indigence et qu'elle fait appel à l'obligeance des passants, pour autant que cela soit fait de manière passive, soit de manière discrète et non agressive.</w:t>
      </w:r>
    </w:p>
    <w:p>
      <w:r>
        <w:t>- 6/12 - P/17549/2013</w:t>
      </w:r>
    </w:p>
    <w:p>
      <w:r>
        <w:rPr>
          <w:b/>
        </w:rPr>
        <w:t>E. 2.3</w:t>
      </w:r>
    </w:p>
    <w:p>
      <w:r>
        <w:t>En l'espèce, la juridiction d'appel n’est pas liée par la décision autrichienne citée par l’appelant. Au demeurant, la mendicité suppose en principe un comportement actif consistant à réclamer de l’argent à des gens de passage. En l'occurrence, le fait de se faufiler entre les voitures et de tendre la main ou un gobelet à des automobilistes représente l'exemple même d'un comportement actif dans le domaine de la mendicité. En tout état de cause, le Tribunal fédéral a retenu que l’art. 11A LPG constituait une base légale suffisante pour interdire toute mendicité (ATF 134 I 214, consid. 5.5). Cette interdiction n’empêche d'ailleurs aucunement l’appelant d’exprimer ou de faire connaître sa situation sociale au public de toute autre manière, notamment au travers de l’association de défense des intérêts de la communauté rom, de sorte qu’il n’y a là aucune restriction inadmissible de sa liberté d’expression ou de communication. Par conséquent, ce grief, infondé, doit être rejeté.</w:t>
      </w:r>
    </w:p>
    <w:p>
      <w:r>
        <w:rPr>
          <w:b/>
        </w:rPr>
        <w:t>E. 3</w:t>
      </w:r>
    </w:p>
    <w:p>
      <w:r>
        <w:t>Dans un deuxième moyen, l’appelant se plaint d'être victime d'un traitement discriminatoire en raison de sa situation sociale et de son origine.</w:t>
      </w:r>
    </w:p>
    <w:p>
      <w:r>
        <w:rPr>
          <w:b/>
        </w:rPr>
        <w:t>E. 3.1</w:t>
      </w:r>
    </w:p>
    <w:p>
      <w:r>
        <w:t>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p. 393 et les références citées ; voir également ATF 124 II 409 consid. 7 p. 425).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 du Tribunal fédéral 6B_31/2012 du 17 août 2012, consid. 3.2).</w:t>
      </w:r>
    </w:p>
    <w:p>
      <w:r>
        <w:t>- 7/12 - P/17549/2013 En matière de discrimination, même lorsque le fardeau de la preuve est allégé, il incombe à celui qui allègue une discrimination de la rendre tout au moins vraisemblable (ibid). 3.2.1 En l'espèce, l'art. 11A LPG ne comporte aucune référence expresse à un caractère discriminatoire et, comme l'a souligné le Tribunal fédéral, aucun élément concret ne révèle une quelconque forme de discrimination indirecte à l'encontre de la communauté rom, à laquelle appartient l'appelant. En particulier, rien ne laisse penser que la norme litigieuse n'est appliquée qu'aux mendiants d'origine rom, ni que les mendiants non roms bénéficient d'une forme d'impunité. Le simple fait que de nombreux mendiants roms ont été amendés à Genève ne rend pas encore vraisemblable une discrimination indirecte (arrêt du Tribunal fédéral 6B_31/2012 du 17 août 2012, consid. 3.4 respectivement 4.4). 3.2.2 L'appelant fait aussi valoir que la norme litigieuse consacre une discrimination sociale, dans la mesure où elle vise de manière prépondérante les pauvres et contribue à les stigmatiser. Il est douteux que le dénuement de l'appelant soit apte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(ATF 136 I 309 consid. 4.3 p. 313, JdT 2011 I 52, 57 ; ATF 135 I 49 consid. 4.4 p. 55s, JdT 2009 I 655, 661 ; ATF 132 I 49 consid. 8 p. 65ss, JdT 2007 I 381, 395s). Le dénuement doit plutôt être considéré comme une circonstance temporaire dont les inconvénients disparaissent avec l'accès à une activité lucrative autonome. On rappellera d'ailleurs que selon le Tribunal fédéral, l'existence de règles assurant un filet social, notamment l'art. 12 Cst., dont peuvent aussi se prévaloir les étrangers, et la loi genevoise sur l'aide sociale individuelle (LASI; RS J 4 04), permet de retenir que pour la très grande majorité des personnes qui s'y livrent, l'interdiction de la mendicité ne les priverait pas du minimum nécessaire, mais d'un revenu d'appoint, même si des exceptions restent toujours possibles (ATF 134 I 214). Ce grief doit ainsi aussi être rejeté.</w:t>
      </w:r>
    </w:p>
    <w:p>
      <w:r>
        <w:rPr>
          <w:b/>
        </w:rPr>
        <w:t>E. 4</w:t>
      </w:r>
    </w:p>
    <w:p>
      <w:r>
        <w:t>L'appelant invoque une restriction injustifiée à sa liberté personnelle et une atteinte à sa dignité humaine (art. 7, 10 et 36 al. 3 Cst. et 8 CEDH), son extrême pauvreté le contraignant à demander l'aumône. Dans l'arrêt 6B_31/2012 du 17 août 2012 (consid. 4), le Tribunal fédéral a écarté ce moyen, lequel avait été examiné de manière détaillée dans l'ATF 134 I 214 relatif à l'examen de la conformité abstraite de la réglementation genevoise à ces garanties. Il a rappelé à ce sujet que la législation sociale existante avait pour but d'éviter que des personnes ne tombent dans le dénuement et soient contraintes de s'adonner à la</w:t>
      </w:r>
    </w:p>
    <w:p>
      <w:r>
        <w:t>- 8/12 - P/17549/2013 mendicité, et a relevé qu'aucun des recourants n'avait allégué ni établi avoir introduit des demandes individuelles tendant à l'obtention de l'aide sociale et encore moins que de telles aides leur auraient été refusées. On relèvera encore que l'art. 11 du Pacte international relatif aux droits économiques, sociaux et culturels [Pacte ONU I; RS 0.103.1], qui garantit le droit de toute personne à un niveau de vie suffisant pour elle- même et sa famille, s'adresse au législateur national qui doit prendre les mesures appropriées pour assurer la réalisation de cette garantie et n'est pas self executing (cf. ATF 136 I 290, consid. 2.3.1 et les références). Ainsi, ce grief doit également être rejeté.</w:t>
      </w:r>
    </w:p>
    <w:p>
      <w:r>
        <w:rPr>
          <w:b/>
        </w:rPr>
        <w:t>E. 5</w:t>
      </w:r>
    </w:p>
    <w:p>
      <w:r>
        <w:t>5.1.1 L'appelant soutient encore que l'infraction de mendicité qui lui est reprochée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L'appelant, dans ce contexte, cite une norme fribourgeoise réprimant comme suit la mendicité : "La personne qui, par cupidité ou fainéantise, mendie ou envoie mendier des enfants ou des personnes sur lesquels elle a autorité est punie de l'amende" (art. 13 de la loi fribourgeoise d'application du Code pénal du 6 octobre 2006 [LACP ; RS 31.1]). Il s'ensuivrait une discrimination de la norme genevoise appliquée aux seuls membres de la communauté rom.</w:t>
      </w:r>
    </w:p>
    <w:p>
      <w:r>
        <w:t>5.1.2 Le principe nulla poena sine lege, qui revêt le caractère d'un droit constitutionnel applicable aussi en matière de contraventions,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(ATF 112 Ia 107 consid. 3a p. 112 et les références). L'exigence de précision (nulla poena sine lege certa) constitue l'une des facettes du principe de la légalité. Elle impose que le comportement réprimé soit suffisamment circonscrit (cf. ATF 117 Ia 472 consid. 4c p. 489).</w:t>
      </w:r>
    </w:p>
    <w:p>
      <w:r>
        <w:rPr>
          <w:b/>
        </w:rPr>
        <w:t>E. 5.2</w:t>
      </w:r>
    </w:p>
    <w:p>
      <w:r>
        <w:t>Le Tribunal fédéral a jugé que l'art. 11A LPG, en usant les termes "mendié" et "mendicité", visait sans ambiguïté le fait de solliciter une aide financière pour remédier à une situation de dénuement (arrêt du Tribunal fédéral 6B_31/2012 du 17 août 2012, consid. 5). Le fait que d'autres législations cantonales, tout en se référant à la même notion de mendicité ("mendie ou envoie mendier"), en soumettent la répression à d'autres conditions ("par cupidité ou fainéantise"), ne change rien à l'interprétation de la règle cantonale genevoise.</w:t>
      </w:r>
    </w:p>
    <w:p>
      <w:r>
        <w:t>- 9/12 - P/17549/2013 En l'espèce, l'appelant, qui justifie ses actes par sa grande pauvreté, a quémandé de l'argent aux automobilistes immobilisés, notamment en leur tendant un gobelet. Son comportement correspond ainsi au sens le plus clair et le plus littéral de la norme. Par conséquent, le grief est donc infondé.</w:t>
      </w:r>
    </w:p>
    <w:p>
      <w:r>
        <w:rPr>
          <w:b/>
        </w:rPr>
        <w:t>E. 6</w:t>
      </w:r>
    </w:p>
    <w:p>
      <w:r>
        <w:t>L'appelant conteste la compensation partielle des frais de la procédure avec les montants de CHF 240.- et de CHF 21.- saisis sur lui ou à proximité immédiate comme résultant de son activité illégale.</w:t>
      </w:r>
    </w:p>
    <w:p>
      <w:r>
        <w:rPr>
          <w:b/>
        </w:rPr>
        <w:t>E. 6.1</w:t>
      </w:r>
    </w:p>
    <w:p>
      <w:r>
        <w:t>Aux termes de l'art. 442 al. 4 CPP, les autorités pénales peuvent compenser les créances portant sur des frais de procédure avec les indemnités accordées à la partie débitrice dans la même procédure et avec des valeurs séquestrées.</w:t>
      </w:r>
    </w:p>
    <w:p>
      <w:r>
        <w:rPr>
          <w:b/>
        </w:rPr>
        <w:t>E. 6.2</w:t>
      </w:r>
    </w:p>
    <w:p>
      <w:r>
        <w:t>En l'espèce, se fondant sur l'art. 263 CPP, le premier juge a constaté à juste titre, s'agissant de la saisie de la somme de CHF 240.-, que l'une des conditions de forme du séquestre faisait défaut, à savoir la confirmation par écrit de la décision. Toutefois, c'est à tort qu'il est parvenu à une conclusion similaire s'agissant du prélèvement de la somme de CHF 21.- que le Service des contraventions, compétent en la matière, a dûment confirmé ultérieurement par écrit. Le texte légal prévoyant que seules les valeurs séquestrées peuvent faire l'objet d'une compensation et la saisie des CHF 240.- ne remplissant pas l'une des conditions formelles du séquestre, le premier juge s'est mépris en ordonnant la compensation partielle des frais de la procédure avec cette somme. A toutes fins utiles, il sied en sus de constater que les CHF 240.- n'ont pas été saisis en relation avec l'infraction du 16 janvier 2012 comme énoncé par le premier juge, mais près de six mois plus tard, à savoir le 9 juillet 2012.</w:t>
      </w:r>
    </w:p>
    <w:p>
      <w:r>
        <w:t>Par conséquent, le montant de CHF 240.- devra être restitué à A______ avec intérêts à 5% dès la saisie, celui de CHF 21.- restant acquis à l'Etat par voie de compensation.</w:t>
      </w:r>
    </w:p>
    <w:p>
      <w:r>
        <w:rPr>
          <w:b/>
        </w:rPr>
        <w:t>E. 7</w:t>
      </w:r>
    </w:p>
    <w:p>
      <w:r>
        <w:t>L'appelant conteste être l'auteur de l'infraction à l'art. 90 LCR.</w:t>
      </w:r>
    </w:p>
    <w:p>
      <w:r>
        <w:rPr>
          <w:b/>
        </w:rPr>
        <w:t>E. 7.1</w:t>
      </w:r>
    </w:p>
    <w:p>
      <w:r>
        <w:t>Aux termes de l'art. 49 LCR, la place des piétons est sur le trottoir et non sur la chaussée dont l'usage est restrictif. L'art. 46 al. 2 OCR prévoit que "les piétons éviteront de s’attarder inutilement sur la chaussée, notamment aux endroits sans visibilité ou resserrés, aux intersections ainsi que de nuit et par mauvais temps".</w:t>
      </w:r>
    </w:p>
    <w:p>
      <w:r>
        <w:rPr>
          <w:b/>
        </w:rPr>
        <w:t>E. 7.2</w:t>
      </w:r>
    </w:p>
    <w:p>
      <w:r>
        <w:t>Nombre de rapports de contravention mentionnent que l'appelant s'est attardé sur la chaussée quand les véhicules automobiles étaient à l'arrêt. En soi, une telle attitude</w:t>
      </w:r>
    </w:p>
    <w:p>
      <w:r>
        <w:t>- 10/12 - P/17549/2013 est déjà constitutive d'une violation de la LCR, puisque la présence d'un piéton sur la chaussée est dangereuse pour lui-même et les autres usagers de la route, notamment des cyclistes qui ont le droit de devancer par la droite une file de voitures (art. 42 al. 3 OCR). Un tel comportement est a fortiori constitutif d'une violation de la LCR lorsque le piéton déambule ou se faufile entre des voitures lors de la phase de redémarrage des véhicules, comme cela a été constaté dans plusieurs cas. La violation à l'art. 90 ch. 1 LCR est ainsi avérée, de sorte que le jugement entrepris sera confirmé sur ce point.</w:t>
      </w:r>
    </w:p>
    <w:p>
      <w:r>
        <w:rPr>
          <w:b/>
        </w:rPr>
        <w:t>E. 8</w:t>
      </w:r>
    </w:p>
    <w:p>
      <w:r>
        <w:t>Le jugement attaqué a condamné A______ à une amende de CHF 500.- pour l'ensemble des infractions retenues, soit pour avoir, à réitérées reprises, mendié et violé les règles de circulation consacrées par la LCR. Pour fixer cette amende, le premier juge a examiné la faute commise par l'appelant, tout en tenant compte de la situation personnelle de ce dernier. Il a pu par ce biais constater que celui-ci ne manifestait aucune prise de conscience vis-à-vis de ses agissements délictueux, faisant fi des nombreuses interventions de l'autorité à son encontre. L'amende, qui apparaît ainsi parfaitement proportionnée, se doit donc d'être confirmée. Il en va de même de la peine privative de liberté de substitution qui est adéquate.</w:t>
      </w:r>
    </w:p>
    <w:p>
      <w:r>
        <w:rPr>
          <w:b/>
        </w:rPr>
        <w:t>E. 9</w:t>
      </w:r>
    </w:p>
    <w:p>
      <w:r>
        <w:t>Mal fondé pour l'essentiel, l'appel sera rejeté. L'appelant supportera l'entier des frais de la procédure envers l'État, le fait qu'il ait eu gain de cause pour des motifs formels devant être tenu pour très marginal au regard de l'ensemble de la culpabilité retenue (art. 428 CPP et art. 14 al. 1 let. e du Règlement fixant le tarif des frais en matière pénale [RS/GE ; E 4 10.03]). * * * * *</w:t>
      </w:r>
    </w:p>
    <w:p>
      <w:r>
        <w:t>- 11/12 - P/17549/2013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