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AARP/441/2016 vom 1. November 2016</w:t>
      </w:r>
    </w:p>
    <w:p>
      <w:r>
        <w:t>GE Cour de justice, 2016-11-01, FR</w:t>
      </w:r>
    </w:p>
    <w:p>
      <w:r>
        <w:rPr>
          <w:b/>
        </w:rPr>
        <w:t xml:space="preserve">Quelle: </w:t>
      </w:r>
      <w:r>
        <w:t>https://mcp.opencaselaw.ch/entscheid/ge_gerichte_AARP_441_2016</w:t>
      </w:r>
    </w:p>
    <w:p>
      <w:r>
        <w:t>FR: GE_GERICHTE AARP/441/2016 du 1 novembre 2016</w:t>
      </w:r>
    </w:p>
    <w:p>
      <w:r>
        <w:t>IT: GE_GERICHTE AARP/441/2016 del 1 novembre 2016</w:t>
      </w:r>
    </w:p>
    <w:p>
      <w:pPr>
        <w:pStyle w:val="Heading2"/>
      </w:pPr>
      <w:r>
        <w:t>Erwägungen</w:t>
      </w:r>
    </w:p>
    <w:p>
      <w:r>
        <w:rPr>
          <w:b/>
        </w:rPr>
        <w:t>E. 1</w:t>
      </w:r>
    </w:p>
    <w:p>
      <w:r>
        <w:t>L'appel est recevable pour avoir été interjeté et motivé selon la forme et dans les délais prescrits (art. 398 et 399 CPP). Une annonce d'appel n'était pas nécessaire (ATF 138 IV 157 consid. 2.1 p. 159, arrêts du Tribunal fédéral 6B_458/2013 du 4 novembre 2013 consid. 1.3.2 et 6B_444/2011 du 20 octobre 2011 consid. 2.5).</w:t>
      </w:r>
    </w:p>
    <w:p>
      <w:r>
        <w:t>La Chambre limite son examen aux violations décrites dans l'acte d'appel (art. 404 al. 1 CPP), sauf en cas de décisions illégales ou inéquitables (art. 404 al. 2 CPP).</w:t>
      </w:r>
    </w:p>
    <w:p>
      <w:r>
        <w:rPr>
          <w:b/>
        </w:rPr>
        <w:t>E. 2</w:t>
      </w:r>
    </w:p>
    <w:p>
      <w:r>
        <w:t>2.1.1.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t>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Rien ne s'oppose à ne retenir qu'une partie des déclarations d'un témoin globalement crédible (ATF 120 Ia 31 consid. 3 spéc. p. 39).</w:t>
      </w:r>
    </w:p>
    <w:p>
      <w:r>
        <w:t>2.1.2.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w:t>
      </w:r>
    </w:p>
    <w:p>
      <w:r>
        <w:t>- 11/17 - P/3313/2012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2.1.3.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ATF 114 IV 41 consid. 2 p. 43 ; ATF 113 IV 29 consid. 1 p. 30). L'infraction peut aussi être réalisée lorsque l'auteur poursuit un but légitime, mais recourt, pour l'atteindre, à des moyens disproportionnés (ATF 113 IV 29 consid. 1 p. 30 ; ATF 104 IV 22 consid. 2 p. 23).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Ce dessein ne vise pas le but ultime de</w:t>
      </w:r>
    </w:p>
    <w:p>
      <w:r>
        <w:t>- 12/17 - P/3313/2012 l'auteur, mais tous les effets de son attitude qu'il a voulus ou acceptés (cf. ATF 113 IV 29 consid. 1 p. 30).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 6B_831/2011 du 14 février 2012 consid. 1.4.2 ; 6S.885/2000 du 26 février 2002 consid. 4a/bb ; ATF 99 IV 13).</w:t>
      </w:r>
    </w:p>
    <w:p>
      <w:r>
        <w:t>2.1.4. En l'espèce, il est établi que C______, qui urinait ostensiblement sur la chaussée de la rue des Alpes, a été surpris par une patrouille de policiers, en civils, en flagrante contravention de violation du règlement sur la propreté, la salubrité et la sécurité publique (art. 1 al. 3 ; RS/GE F 3 15.04). Il est également établi que le plaignant s'est livré à des injures sur la personne de F______ en la traitant de "pétasse" (art. 177 CP ; arrêt du Tribunal fédéral 6S.634/2001 du 20 décembre 2001 consid. 2). Compte tenu de son état d'ébriété, les forces de l'ordre étaient autorisées à conduire le plaignant au poste de police (art. 51 de la loi sur la police [LPol ; RS/GE F 1 05]). L'intervention poursuivait un but légitime, de sorte que seul demeure litigieux le point de savoir si l'intimé A______ a recouru à des moyens disproportionnés pour l'atteindre.</w:t>
      </w:r>
    </w:p>
    <w:p>
      <w:r>
        <w:t>Les déclarations de A______ sont globalement cohérentes et crédibles. De manière constante, celui-ci a relaté qu'il avait demandé, de manière peu formelle, au plaignant de cesser d'uriner, que celui-ci n'avait pas obtempéré, qu'il avait donc enclenché – au moins brièvement – le gyrophare, s'était légitimé et avait réitéré son ordre, mais que C______ avait continué à proférer des insultes, notamment à l'endroit de sa collègue féminine, ce qui l'avait décidé à sortir du véhicule. Il avait tenté d'amener l'individu contre le mur afin de contrôler son identité, mais celui-ci gesticulait tellement qu'il avait été contraint, à défaut de prise valable, de l'amener au sol pour le maîtriser, avec l'aide de ses collègues. Cette version "progressive" des événements est similaire à celle qui résulte de l'inscription au journal, saisie le soir des faits par l'un des agents, à teneur de laquelle la patrouille a actionné le feu bleu et le plaignant s'est opposé à son interpellation, malgré les injonctions d'usage, rendant nécessaires l'usage des clés de bras et de cou pour le menotter. Le rapport de contravention, certes co-signé par l'agent A______, vient encore corroborer le déroulement "graduel" des événements. À cela s'ajoute le témoignage de G______, qui a vu deux agents saisir son ami et le plaquer contre le mur, ce qu'il supposait toutefois être la "procédure habituelle" pour</w:t>
      </w:r>
    </w:p>
    <w:p>
      <w:r>
        <w:t>- 13/17 - P/3313/2012 menotter quelqu'un. Il en découle que si l'usage de la force lui avait paru disproportionné ou excessif, le témoin n'aurait pas choisi ces mots, d'autant que ce dernier a bien été surpris par la réaction du plaignant, qu'il a qualifié d'imprudente et que selon lui, C______ avait gesticulé lors de l'intervention, ce qui, en regard de sa masse corporelle, avait eu un "certain impact". Les témoignages des agents de patrouille doivent, certes, être appréciés à l'aune du lien de loyauté les unissant à leur chef. Cela étant, tous s'accordent à dire que C______ n'était pas dans son état normal et qu'il n'a pas été possible de procéder au contrôle d'identité calmement, l'individu s'étant d'emblée débattu, nonobstant les légitimations orales et injonctions d'usage. En particulier, F______ a eu la "certitude" d'avoir dit "monsieur, c'est la police" à C______, et s'est en outre souvenue avoir été éblouie par le gyrophare, cela donc avant que les agents sortent de leur véhicule. Il n'est pas contesté qu'une fois sorti de la voiture, mais après que C______ eut refusé d'obtempérer, l'intimé A______ a dû rapidement recourir à la contrainte pour l'appréhender. Tous les intervenants ont en effet mentionné une "mêlée" empreinte de confusion, le témoin G______ relevant la rapidité avec laquelle les événements se sont enchaînés. Au surplus, il n'y a pas lieu de revenir sur les blessures du plaignant au stade de l'examen de la proportionnalité. En effet, les lésions, pas même mentionnées dans le développement de l'ordonnance pénale, valant acte d'accusation, sont la conséquence de la force déployée pour la mise au sol, pour lesquelles un classement définitif a été prononcé. Certes, des incohérences subsistent. En particulier, le témoin E______ a déclaré que ses deux collègues n'avaient pas eu besoin de lui pour appréhender l'individu, alors que l'agent D______ a prétendu n'être intervenu qu'à la fin de l'intervention, et que l'officier F______ a indiqué que ses collègues s'étaient "sans doute" mis à trois pour l'interpeller, elle-même ayant dû lui maintenir les jambes. Ce constat doit cependant être relativisé, vu l'écoulement du temps, les déclarations des policiers étant dans l'ensemble cohérentes et convaincantes. Ainsi, il ne fait aucun doute que l'état d'agitation de l'appréhendé était tel qu'il aura fallu la force de deux, voire trois agents pour le maîtriser et l'amener à terre, puis d'un quatrième pour le menotter, étant rappelé sa carrure athlétique. À l'inverse, les déclarations de C______ souffrent quelques inconsistances, qui peuvent s'expliquer par son état d'ébriété avancé, ce qu'il a lui-même reconnu. Il est dès lors évident que sa perception des événements et sa mémoire ont été considérablement altérées. À titre d'exemple, il était persuadé d'uriner dans une ruelle</w:t>
      </w:r>
    </w:p>
    <w:p>
      <w:r>
        <w:t>- 14/17 - P/3313/2012 discrète, qui s'avère être une voie fréquentée, même à 04h00 du matin. Les termes de sa plainte, selon lesquels il aurait été "giclé" contre le mur et "jeté" au sol, doivent dès lors être appréciés avec circonscription. Il en va de même du fait qu'il aurait reculé "d'un mètre et demi" à l'approche des policiers. Il n'apparaît dès lors guère surprenant, vu son état, que C______ n'ait pas aperçu le gyrophare, ni entendu les policiers se légitimer. Cela est plus troublant s'agissant de G______. Il n'est cependant pas exclu que le comportement "imprudent" de son ami ait cristallisé toute l'attention du témoin, et qu'il n'ait ainsi pas non plus vu les quelques brefs flashs du feu bleu. Compte tenu du manque de fiabilité des déclarations du plaignant et à défaut d'autres éléments pouvant les confirmer, la CPAR ne peut tenir cette version des faits pour plus exacte que celle du prévenu, qui est resté constant sur l'attitude verbalement agressive et physiquement non coopérante du premier. Au vu de ce qui précède, il ne peut être établi au-delà de tout doute raisonnable que l'intimé A______ a recouru à des moyens de contrainte excessifs pour procéder à l'interpellation de C______. Les circonstances de l'intervention et la potentielle dangerosité d'un individu alcoolisé ne permettent pas non plus, compte tenu de la réalité du terrain, d'envisager que A______ aurait pu ou dû se contenter d'avoir recours à des moyens moins dommageables. Même sans incertitude sur la réalisation des éléments objectifs de l'infraction visée à l'art. 312 CP, un doute subsisterait sur le dessein poursuivi par A______. En effet, on ne trouve rien dans l'acte d'accusation permettant d'identifier avec exactitude en quoi le prévenu aurait eu l'intention de nuire au plaignant. Il ne ressort pas davantage du dossier que le prévenu aurait voulu, ou accepté par dol éventuel, en se comportant comme il l'a fait le jour des faits, vengé l'honneur de sa collègue F______, contrairement à ce que soutient le Ministère public. Même à admettre qu'un policier aurait prononcé une phrase du type de celle qu'ont entendu C______ et G______, ("on va t'apprendre à parler aux femmes" ou "[…] à notre collègue"), bien que cela ne ressorte pas de la plainte, cela ne suffirait pas encore à fonder un dessein de vengeance, encore moins imputable à A______, d'autant que les officiers ont l'habitude d'être confrontés à des injures dans le cadre de leur fonction. L'intéressée a par ailleurs laissé entendre que les propos désobligeants dont elle avait été la cible ne l'avaient pas chamboulée outre mesure. Partant, c'est à bon droit que le premier juge a acquitté A______ du chef d'abus d'autorité.</w:t>
      </w:r>
    </w:p>
    <w:p>
      <w:r>
        <w:rPr>
          <w:b/>
        </w:rPr>
        <w:t>E. 3</w:t>
      </w:r>
    </w:p>
    <w:p>
      <w:r>
        <w:t>3.1.1. L'art. 429 al. 1 let. b CPP prévoit que le prévenu acquitté totalement ou en partie, ou qui bénéficie d'une ordonnance de classement, a droit à une indemnité pour</w:t>
      </w:r>
    </w:p>
    <w:p>
      <w:r>
        <w:t>- 15/17 - P/3313/2012 le dommage économique subi au titre de sa participation obligatoire à la procédure pénale. Cette disposition concerne notamment l'éventuelle atteinte à l'avenir économique consécutif à la procédure (arrêt du Tribunal fédéral 6B_928/2014 du 10 mars 2016 consid. 4.1.1 et les références citées destiné à la publication). À titre d'exemple, peut entrer en ligne de compte l'indemnisation d'une atteinte aux perspectives professionnelles (Beeinträchtigung Karrieremöglichkeiten ; Karriereschäden), de la perte d'un emploi (Stellenverlust) ou d'une future augmentation de salaire (entgangene künftige Lohnaufbesserung), (N. SCHMID, Praxiskommentar, 2013, n. 8 ad art. 429 ; M. NIGGLI / M. HEER / H. WIPRÄCHTIGER (éds), Strafprozessordnung / Jugendstrafprozessordnung, Basler Kommentar StPO/JStPO, 2ème éd., 2014, n. 23 ad art. 429). 3.1.2. Le dommage, dont l'évaluation se fait en application des règles générales en matière de responsabilité civile, se définit comme la diminution involontaire de la fortune nette (art. 41 ss CO)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(arrêts du Tribunal fédéral 6B_1061/2014 du 18 avril 2016 consid. 1.3.1 destiné à la publication ; 6B_928/2014 précité consid. 4.1.2). Le droit à des dommages et intérêts suppose l'existence d'un lien de causalité adéquat entre la procédure pénale et le dommage subi, dont la preuve ne doit pas être soumise à des exigences trop élevées ; une haute vraisemblance suffit (J. PITTELOUD, Code de procédure pénale suisse, 2012, n. 1354 in fine ad art. 429 ss). Un fait constitue la cause adéquate d'un résultat s'il est propre, d'après le cours ordinaire des choses et l'expérience de la vie, à entraîner un résultat du genre de celui qui s'est produit (ATF 131 IV 145 consid. 5.1 p. 147 ; 129 II 312 consid. 3.3 p. 318). Pour autant qu'il se trouve dans un lien de causalité adéquate avec la procédure pénale, un dommage indirect (mittelbarer Schaden) doit être dédommagé, au même titre qu'un dommage direct (unmittelbarer Schaden) ; ainsi en va-t-il, par exemple, du chômage (M. NIGGLI / M. HEER / H. WIPRÄCHTIGER (éds), op. cit., n. 24 ad art. 429). Lorsque le montant exact du dommage ne peut pas être établi, le juge le détermine équitablement en considération du cours ordinaire des choses et des mesures prises par la partie lésée (art. 42 al. 2 CO) (arrêts du Tribunal fédéral 6B_909/2015 du 22 juin 2016 consid. 1.1 ; 6B_1061/2014 précité consid. 1.3.1 ; 6B_928/2014 précité consid. 4.1.2). 3.1.3. Dans un arrêt récent, le Tribunal fédéral a considéré qu'un prévenu pouvait être indemnisé même lorsque le dommage ne résultait pas d'un acte de procédure particulier, mais d'un ensemble d'actes de procédure, voire même de la seule existence d'une procédure pénale, si bien que la perte économique découlant d'un</w:t>
      </w:r>
    </w:p>
    <w:p>
      <w:r>
        <w:t>- 16/17 - P/3313/2012 licenciement était en soi indemnisable au titre de l'art. 429 al. 1 let. b CPP, pour autant que le dommage en question soit en relation de causalité naturelle et adéquate avec la procédure pénale. Dans le cas dont le Tribunal fédéral a eu à connaître, le prévenu avait demandé, sur le plan pénal, une indemnité en raison de la perte de son poste d'enseignant. Parallèlement, les juridictions administratives avaient jugé que le licenciement était contraire au droit (renvoi pour cause de suspicion). Il s'ensuivait que, bien que le licenciement fût en relation de causalité naturelle avec la procédure pénale, il n'était pas en relation de causalité adéquate avec celle-ci, dans la mesure où, selon le cours ordinaire des choses et l'expérience générale de la vie, les autorités respectaient le droit. En d'autres termes, les juridictions pénales n'avaient pas à supporter les conséquences du comportement contraire au droit des autorités scolaires, auquel elles ne pouvaient s'attendre (arrêt du Tribunal fédéral 6B_1061/20144 précité consid. 1.3.3, 1.3.4 et 1.5.3 destiné à la publication).</w:t>
      </w:r>
    </w:p>
    <w:p>
      <w:r>
        <w:rPr>
          <w:b/>
        </w:rPr>
        <w:t>E. 3.2</w:t>
      </w:r>
    </w:p>
    <w:p>
      <w:r>
        <w:t>En l'espèce, A______ a démontré avec une haute vraisemblance que la présente procédure l'avait empêché d'accéder à un grade supérieur au sein de la police judiciaire, dans la mesure où la lettre de la cheffe de la police mentionne expressément l'ordonnance pénale du 18 novembre 2013 comme étant la raison de l'ajournement de sa nomination en tant que chef de brigade.</w:t>
      </w:r>
    </w:p>
    <w:p>
      <w:r>
        <w:t>Le rapport de causalité adéquate est également établi, dans la mesure où une procédure pénale est propre, d'après le cours ordinaire des choses et l'expérience générale de la vie, à entraîner le refus d'une promotion, en particulier au sein d'un corps de métier dont la fonction est de garantir le respect des lois. Le Ministère public n'allègue par ailleurs pas que le Conseil d'État aurait violé le droit en décidant de surseoir à la nomination. A______ a suffisamment chiffré son dommage (supra, consid. d.a.c.), de sorte que l'indemnité de CHF 5'000.- octroyée par le premier juge sera confirmée.</w:t>
      </w:r>
    </w:p>
    <w:p>
      <w:r>
        <w:t>La réserve des droits de l'intimé, eu égard au préjudice éventuel lié à la caisse de prévoyance professionnelle, est inutile, puisqu'il pourra sans autre les faire valoir en temps utile, s'il s'y estime fondé.</w:t>
      </w:r>
    </w:p>
    <w:p>
      <w:r>
        <w:rPr>
          <w:b/>
        </w:rPr>
        <w:t>E. 4</w:t>
      </w:r>
    </w:p>
    <w:p>
      <w:r>
        <w:t>Vu l'issue de la procédure, les frais seront laissés à la charge de l'État (art. 428 CPP). * * * * *</w:t>
      </w:r>
    </w:p>
    <w:p>
      <w:r>
        <w:t>- 17/17 - P/3313/2012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