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AARP/440/2014 vom 14. Oktober 2014</w:t>
      </w:r>
    </w:p>
    <w:p>
      <w:r>
        <w:t>GE Cour de justice, 2014-10-14, FR</w:t>
      </w:r>
    </w:p>
    <w:p>
      <w:r>
        <w:rPr>
          <w:b/>
        </w:rPr>
        <w:t xml:space="preserve">Quelle: </w:t>
      </w:r>
      <w:r>
        <w:t>https://mcp.opencaselaw.ch/entscheid/ge_gerichte_AARP_440_2014</w:t>
      </w:r>
    </w:p>
    <w:p>
      <w:r>
        <w:t>FR: GE_GERICHTE AARP/440/2014 du 14 octobre 2014</w:t>
      </w:r>
    </w:p>
    <w:p>
      <w:r>
        <w:t>IT: GE_GERICHTE AARP/440/2014 del 14 ottobre 2014</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w:t>
      </w:r>
    </w:p>
    <w:p>
      <w:r>
        <w:t>2.1.1.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t>- 16/30 - P/8266/2012 2.1.2. La juridiction d'appel administre, d'office ou à la demande d'une partie, les preuves complémentaires nécessaires au traitement du recours (art. 389 al. 3 CPP ; arrêt du Tribunal fédéral 6B_78/2012 du 27 août 2012 consid. 3.1). L'administration des preuves du tribunal de première instance n'est répétée que si les dispositions en matière de preuves ont été enfreintes (art. 389 al. 2 let. a), l'administration des preuves était incomplète (al. 2 let. b) ou si les pièces relatives à l'administration des preuves ne semblent pas fiables (al. 2 let. c). Afin de déterminer quel moyen de preuve doit être administré, le juge dispose d'un pouvoir d'appréciation (arrêt du Tribunal fédéral 6B_484/2012 du 11 décembre 2012 consid.</w:t>
      </w:r>
    </w:p>
    <w:p>
      <w:r>
        <w:rPr>
          <w:b/>
        </w:rPr>
        <w:t>E. 2.2</w:t>
      </w:r>
    </w:p>
    <w:p>
      <w:r>
        <w:t>A teneur de l'art. 20 CP, le juge ordonne une expertise s'il existe une raison sérieuse de douter de la responsabilité de l'auteur.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(ATF 133 IV 145 consid. 3.3 p. 147), étant précisé que celle-ci est présumée (arrêt du Tribunal fédéral 6B_540/2008 du 5 février 2009 consid. 2.3 et les références).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ATF 116 IV 273 consid. 4a p. 274 ; ATF 102 IV 74 consid. 1b p. 75 s.). 2.3.1. En l'espèce, ainsi qu'il a été retenu dans l'ordonnance présidentielle du</w:t>
      </w:r>
    </w:p>
    <w:p>
      <w:r>
        <w:rPr>
          <w:b/>
        </w:rPr>
        <w:t>E. 5</w:t>
      </w:r>
    </w:p>
    <w:p>
      <w:r>
        <w:t>5.1.1.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5.1.2. La distinction entre lésions corporelles et voies de fait peut s'avérer délicate, notamment lorsque l'atteinte s'est limitée à des contusions, meurtrissures, des écorchures, des griffures ou des contusions. La question peut parfois être résolue de manière satisfaisante par l'application de l'art. 123 ch. 1 al. 2 CP, qui permet une atténuation libre de la peine dans les cas de peu de gravité (cf. ATF 119 IV 25 consid. 2a p. 27). 5.1.3. Aux termes de l'art. 139 ch. 1 CP, se rend coupable de vol, celui qui, pour se procurer ou procurer à un tiers un enrichissement illégitime, aura soustrait une chose mobilière appartenant à autrui dans le but de se l'approprier.</w:t>
      </w:r>
    </w:p>
    <w:p>
      <w:r>
        <w:t>- 22/30 - P/8266/2012</w:t>
      </w:r>
    </w:p>
    <w:p>
      <w:r>
        <w:rPr>
          <w:b/>
        </w:rPr>
        <w:t>E. 5.2</w:t>
      </w:r>
    </w:p>
    <w:p>
      <w:r>
        <w:t>En l'espèce, la CPAR a acquis la conviction que l'appelant a causé à la partie plaignante B______ les lésions décrites, soit une morsure à l'épaule et une légère brûlure à la jambe, lors de la soirée du 22 avril 2012 au club « E______».</w:t>
      </w:r>
    </w:p>
    <w:p>
      <w:r>
        <w:t>Les déclarations de la victime, qui n'a jamais au cours de la procédure exagéré ses propos par esprit de vengeance ou colère, sont crédibles, d'autant qu'il est avéré que l'appelant savait se montrer violent à cette période de sa vie. Le récit de la partie plaignante, constant et très précis, est aussi corroboré par le témoignage de deux de ses amies, qui ont constaté les lésions et dont la parole n'a pas de raison d'être mise en doute du seul fait de l'existence de liens d'amitié. Enfin, la main courante établie le 3 mai 2012 au poste de gendarmerie de Carouge fait état de cet épisode et l'on voit mal pourquoi la partie plaignante aurait menti à ce stade à la police, en usant de machiavélisme.</w:t>
      </w:r>
    </w:p>
    <w:p>
      <w:r>
        <w:t>L'absence de « taser » dans l'appartement de l'appelant n'est pas de nature à aboutir à une autre conclusion, l'appelant ayant aisément pu s'en débarrasser dans l'intervalle. L'absence de certificat médical permettant d'attester les lésions subies ou de dépôt de plainte est expliquée de manière convaincante par la partie plaignante, qui souhaitait éviter une dégradation de la situation. Enfin, les dénégations constantes de l'appelant s'agissant de ces événements doivent être relativisées dans la mesure où il semble avoir adopté pour stratégie de ne reconnaître que ce qui est totalement incontestable au vu des éléments matériels du dossier.</w:t>
      </w:r>
    </w:p>
    <w:p>
      <w:r>
        <w:t>Ainsi que l'ont relevé les premiers juges, il n'a pas pu être déterminé de manière fiable quel genre d'appareil a été utilisé par l'appelant. De plus, tant la morsure à l'épaule que les brûlures à la jambe restent objectivement de peu de gravité, sans pour autant qu'elles puissent revêtir la qualification de voies de fait. En conséquence, c'est à juste titre que l'appelant a été reconnu coupable de lésions corporelles simples de peu de gravité et le jugement entrepris sera dès lors confirmé sur ce point.</w:t>
      </w:r>
    </w:p>
    <w:p>
      <w:r>
        <w:t>Pour les mêmes motifs, le récit de la partie plaignante s'agissant du vol de son téléphone portable est aussi crédible. Il est indirectement corroboré par le témoin J______, qui, s'exprimant au sujet de l'agression de juin 2012, a fait savoir à la police que la partie plaignante lui avait dit avoir été agressée et volée quelques semaines plus tôt par son ancien ami intime. Ce qui pouvait à l'époque passer pour un détail insignifiant conforte l'existence d'un vol. On voit mal pourquoi l'intéressée aurait inventé ce fait qui ne répondait à aucune intérêt immédiat. Compte tenu de ces éléments, le fait que le téléphone portable n'ait pas été retrouvé ne paraît pas déterminant. Pour le surplus, les explications de l'appelant selon lesquelles il ne pourrait être l'auteur de ce vol faute de posséder une carte SIM pour iPhone ne sont d'aucune pertinence, les puces utilisées dans les téléphones s'adaptant à la plupart des appareils et pouvant être modifiées le cas échéant. La CPAR tient ainsi pour établi</w:t>
      </w:r>
    </w:p>
    <w:p>
      <w:r>
        <w:t>- 23/30 - P/8266/2012 que l'appelant a subtilisé le téléphone de la partie plaignante B______ lors de la soirée du 22 avril 2012, réalisant les conditions de l'infraction de vol.</w:t>
      </w:r>
    </w:p>
    <w:p>
      <w:r>
        <w:t>Au vu ce qui précède, le jugement entrepris doit être confirmé et l'appel rejeté.</w:t>
      </w:r>
    </w:p>
    <w:p>
      <w:r>
        <w:rPr>
          <w:b/>
        </w:rPr>
        <w:t>E. 5.3</w:t>
      </w:r>
    </w:p>
    <w:p>
      <w:r>
        <w:t>p. 225-226 et la jurisprudence citée ; JdT 2008 I 523 consid. 3.1). 4.2.2. La jurisprudence a affirmé à plusieurs reprises que l'équivalence des deux formes de dol - direct et éventuel - s'appliquait également à la tentative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 Il n'est pas non plus nécessaire que plusieurs coups aient été assénés (arrêt 6B_829/2010 du 28 février 2011 consid. 3.2). Le fait que l'auteur quitte les lieux après son geste sans s'enquérir de l'état de santé de sa victime est un indice confirmant qu'il avait envisagé les conséquences possibles de son acte et les avaient acceptées pour le cas où elles se produiraient (arrêt du Tribunal fédéral 6B_246/2012 du 10 juillet 2012 consid. 1.3 et les références citées). 4.3.1. 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CP). 4.3.2. Le caractère dangereux d'un objet se détermine en fonction de la façon dont il est utilisé (ATF 111 IV 123 consid. 4 p. 122 ; 101 IV 285, p. 286). Un objet sera considéré comme dangereux lorsqu'il est conçu de manière telle qu'utilisé comme</w:t>
      </w:r>
    </w:p>
    <w:p>
      <w:r>
        <w:t>- 20/30 - P/8266/2012 arme, il est propre à provoquer les blessures que causerait une arme employée dans les mêmes conditions (ATF 96 IV 16 consid. 3b p. 19). L'objet doit être propre à créer un risque de mort ou de lésion corporelle grave au sens de l'art. 122 CP (ATF 101 IV 285 p. 287, arrêt du Tribunal fédéral 6S.65/2002 du 26 avril 2002 consid. 3.2 et les références citées).</w:t>
      </w:r>
    </w:p>
    <w:p>
      <w:r>
        <w:t>4.4. En l'espèce, l'appelant conteste avoir accepté l'éventualité que ses actes puissent entraîner la mort de la partie plaignante C______. Or, tant l'enchaînement des faits tel qu'il ressort des différentes déclarations que les éléments matériels du dossier indiquent le contraire, de sorte que la CPAR est convaincue de l'intention homicide de l'appelant, au moins par dol éventuel.</w:t>
      </w:r>
    </w:p>
    <w:p>
      <w:r>
        <w:t>L'appelant a tout d'abord fait en sorte de se retrouver seul avec sa future victime en écartant la partie plaignante B______ et en refermant la porte derrière lui. Il n'est pas essentiel de savoir s'il a fermé le loquet pour retenir une forte volonté d'en découdre, puisque, habitué des lieux, il savait nécessairement que cette porte ne s'ouvrait pas depuis l'extérieur. L'appelant a lui-même déclaré qu'il voulait « s'expliquer » avec le nouveau compagnon de son ex-copine, ce qu'il a voulu faire par surprise dès lors qu'il s'est caché pour pouvoir entrer de force dans l'appartement.</w:t>
      </w:r>
    </w:p>
    <w:p>
      <w:r>
        <w:t>Une fois sur place, l'appelant a explicitement annoncé vouloir tuer son rival. La partie plaignante B______ a pu dans un premier temps omettre de mentionner ces paroles en étant sous l'état de choc. Ces menaces explicites constituent à l'évidence un indice important de l'état d'esprit de l'appelant.</w:t>
      </w:r>
    </w:p>
    <w:p>
      <w:r>
        <w:t>La version des faits de l'appelant, qui n'a été donnée que devant la police, n'est aucunement confortée par la suite des événements, en plus du fait qu'elle ne correspond pas à ses déclarations subséquentes et au récit constant de la partie plaignante. L'appelant s'est bien plutôt volontairement dirigé vers la cuisine et emparé d'objets tranchants, des couteaux et des ciseaux. Qu'il n'ait par la suite gardé que les ciseaux en main, et non les couteaux, n'a guère d'incidence sur l'évaluation de l'intention de l'appelant, vu les caractéristiques des lames des ciseaux utilisés. De même, l'usage de la main gauche plutôt que de la main droite, un élément dont il est d'ailleurs permis de douter si l'on considère les toutes premières déclarations de l'appelant à la police, est le fruit d'un concours de circonstances au moment où l'appelant a lâché plusieurs ustensiles plutôt que d'une volonté de sa part de ne pas commettre d'acte irréparable ou de s'affaiblir volontairement. Le récit de l'appelant ne résiste pas à l'examen. Les lésions constatées au bras de la partie plaignante indiquent clairement une position de défense, conformément à ses déclarations. La blessure au flanc droit est par ailleurs incompatible avec de seuls mouvements circulaires, la profondeur de la plaie exigeant une certaine énergie et ne pouvant s'expliquer par un simple « glissement » des lames des ciseaux sur le flanc.</w:t>
      </w:r>
    </w:p>
    <w:p>
      <w:r>
        <w:t>- 21/30 - P/8266/2012</w:t>
      </w:r>
    </w:p>
    <w:p>
      <w:r>
        <w:t>L'appelant a donc directement porté des coups de ciseaux à la hauteur du thorax, soit dans une région du corps qui abrite des organes vitaux, ce dont tout un chacun est conscient. Il ne voulait peut-être pas la mort de son opposant, mais en adoptant un tel comportement, avec un objet tranchant, il s'est consciemment accommodé du risque d'une issue fatale. A cet égard, il n'est pas déterminant que les lésions causées n'aient finalement été que de peu d'importance et que la vie de la partie plaignante n'ait pas concrètement été mise en danger, la nature de la lésion subie étant sans pertinence pour juger d'une tentative de meurtre.</w:t>
      </w:r>
    </w:p>
    <w:p>
      <w:r>
        <w:t>Enfin, vu la violence générale de l'épisode et les traces de sang constatées par un témoin sur les ciseaux, il n'est pas crédible que l'appelant n'ait pas réalisé avoir blessé son adversaire comme il le prétend. Or, il a préféré s'enfuir, sans s'enquérir de l'état de sa victime, démontrant par là-même une certaine détermination, à moins que ce ne soit la crainte des conséquences liées à la commission d'un acte irréparable.</w:t>
      </w:r>
    </w:p>
    <w:p>
      <w:r>
        <w:t>Compte tenu de ce qui précède, c'est à juste titre que les premiers juges ont reconnu l'appelant coupable de tentative de meurtre par dol éventuel. Le jugement entrepris doit dès lors être confirmé.</w:t>
      </w:r>
    </w:p>
    <w:p>
      <w:r>
        <w:rPr>
          <w:b/>
        </w:rPr>
        <w:t>E. 6.1</w:t>
      </w:r>
    </w:p>
    <w:p>
      <w:r>
        <w:t>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6.2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6.3.1.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w:t>
      </w:r>
    </w:p>
    <w:p>
      <w:r>
        <w:t>- 24/30 - P/8266/2012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w:t>
      </w:r>
    </w:p>
    <w:p>
      <w:r>
        <w:t>6.3.2. Conformément à l'art. 48 lit. d CP, le juge atténue la peine si l'auteur a manifesté par des actes un repentir sincère notamment s'il a réparé le dommage autant qu'on pouvait l'attendre de lui. 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6B_1060/2013 du 28 avril 2014 consid. 2.2).</w:t>
      </w:r>
    </w:p>
    <w:p>
      <w:r>
        <w:rPr>
          <w:b/>
        </w:rPr>
        <w:t>E. 6.4</w:t>
      </w:r>
    </w:p>
    <w:p>
      <w:r>
        <w:t>En l'espèce, la faute de l'appelant est lourde. Il s'en est pris à la vie et à l'intégrité corporelle de ses victimes. La jalousie est l'unique motif de la violence exprimée dans la nuit du 9 au 10 juin 2012, tandis qu'une volonté de garder le contrôle sur la partie plaignante B______ est à l'origine des autres infractions commises à son préjudice. A ces motivations purement égoïstes et futiles s'ajoute l'intensité de la violence de l'appelant, celui-ci n'ayant notamment pas hésité à porter plusieurs coups au nouvel ami de son ex-compagne, puis à frapper celle-ci alors qu'elle était au sol et vulnérable. Les parties plaignantes ont été, à n'en point douter, durablement affectées par ces événements. Il sera retenu que l'infraction de meurtre n'a été réalisée que sous sa forme tentée et que la vie de la partie plaignante C______ n'a pas été concrètement mise en danger. Rien n'excuse ou n'explique le comportement de l'appelant qui dispose sans conteste des ressources intellectuelles et affectives pour agir différemment, ce qu'il semble avoir commencé à exploiter. Sa collaboration à l'instruction a été variable. Il a d'abord choisi la fuite, puis a prétendu, notamment devant les médecins qui l'ont ausculté lors de sa première audition, être la victime de coups, alors qu'il savait être l'auteur de violences répétées. Il a en revanche adopté par la suite un comportement plus constructif, bien qu'il ait toujours cherché à minimiser ses actes. L'appelant n'a pas d'antécédent spécifique, ce qui est mutatis mutandis un facteur neutre sur la fixation de la peine (ATF 136 IV 1 consid. 2.6.4).</w:t>
      </w:r>
    </w:p>
    <w:p>
      <w:r>
        <w:t>- 25/30 - P/8266/2012 Il y a concours. Les premiers juges semblent avoir considéré que toutes les infractions passibles d'une peine pécuniaire ou d'une peine privative de liberté exigeaient en l'espèce la fixation d'une peine privative de liberté, ce qui ne paraît pas critiquable. La circonstance atténuante du repentir sincère ne saurait être retenue vu la tardivité des excuses, le contexte principalement judiciaire dans lequel elles ont été formulées et l'absence de réparation pécuniaire à ce jour. L'appelant semble toutefois désormais avoir pris, au moins partiellement, conscience de la gravité de ses actes, même s'il persiste à en minimiser la portée, et a entrepris un travail sérieux de gestion de ses problèmes de violence avec sa thérapeute, au point qu'il n'existe aujourd'hui plus de comportements à risques selon les médecins. Si sa responsabilité au moment des faits est entière, il est en revanche certain que le grave accident subi par l'appelant en 2007 est un facteur dont il doit être tenu compte au titre de sa situation personnelle. En particulier, la volonté dont il a fait preuve à la suite de cet accident démontre sa capacité à s'engager sérieusement dans ses projets d'avenir. Compte tenu de ce qui précède et de l'effet de la peine sur l'avenir de l'appelant, la peine de quatre ans et six mois infligée par les premiers juges paraît excessive. Elle sera partant réduite à trois ans et six mois, la question du sursis partiel ne se posant dès lors pas. L'appel sera partiellement admis et le jugement entrepris modifié sur ce point.</w:t>
      </w:r>
    </w:p>
    <w:p>
      <w:r>
        <w:rPr>
          <w:b/>
        </w:rPr>
        <w:t>E. 7.1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6B_345/2012 du 9 octobre 2012 consid. 3.1 et 6B_970/2010 du 23 mai 2011 consid. 1.1.2). Des lésions corporelles, même si elles sont objectivement de peu d'importance, justifient en principe l'allocation d'une indemnité lorsqu'elles ont été infligées de manière volontaire dans des circonstances traumatisantes, d'autant plus lorsqu'elles ont des conséquences psychiques à long terme (arrêt du Tribunal fédéral 6B_353/2012 du 26 septembre 2012 consid. 2). Ainsi, le principe d'une indemnisation du tort moral et l'ampleur de la réparation dépendent avant tout de la nature et de la gravité de</w:t>
      </w:r>
    </w:p>
    <w:p>
      <w:r>
        <w:t>- 26/30 - P/8266/2012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704s). Statuant selon les règles du droit et de l'équité, le juge dispose d'un large pouvoir d'appréciation. (ATF 135 III 121 consid. 2 p. 123). Le juge en proportionnera le montant à la gravité de l'atteinte subie et évitera que la somme accordée n'apparaisse dérisoire à la victime (ATF 125 III 269 consid. 2a p. 273 ; arrêt du Tribunal fédéral 4A_266/2011 du 19 août 2011 consid. 2.1.4).</w:t>
      </w:r>
    </w:p>
    <w:p>
      <w:r>
        <w:rPr>
          <w:b/>
        </w:rPr>
        <w:t>E. 7.2</w:t>
      </w:r>
    </w:p>
    <w:p>
      <w:r>
        <w:t>En l'espèce, si le principe d'une réparation du tort moral subi par la partie plaignante C______ doit être admis compte tenu de l'atteinte subie, le montant fixé par les premiers juges est excessif au regard de la gravité de celle-ci, de son intensité et de ses effets. En effet, par chance faiblement blessée, la partie plaignante C______ n'est restée que quelques heures à l'hôpital, n'a eu qu'un arrêt de travail de courte durée et n'a pas à souffrir de séquelles physiques particulières qui entraîneraient une diminution importante de son bien-être, les cicatrices qui le gênent étant de faible ampleur. Il est vrai que la partie plaignante C______ a subi un traumatisme vu les circonstances de l'attaque et la nature des blessures. Cela étant, elle n'a pas eu besoin de recourir à une aide extérieure pour le surmonter, ce qui constitue un indice important de l'intensité relative des souffrances ressenties. Compte tenu de ce qui précède, la CPAR fixera à CHF 4'000.- l'indemnité pour tort moral. Le jugement entrepris sera dès lors réformé sur ce point.</w:t>
      </w:r>
    </w:p>
    <w:p>
      <w:r>
        <w:rPr>
          <w:b/>
        </w:rPr>
        <w:t>E. 8</w:t>
      </w:r>
    </w:p>
    <w:p>
      <w:r>
        <w:t>Les prétentions en indemnisation présentées par le prévenu en appel doivent être rejetées au vu de la confirmation du verdict de culpabilité (art. 429 al. 1 CPP).</w:t>
      </w:r>
    </w:p>
    <w:p>
      <w:r>
        <w:rPr>
          <w:b/>
        </w:rPr>
        <w:t>E. 9</w:t>
      </w:r>
    </w:p>
    <w:p>
      <w:r>
        <w:t>L'appelant, qui obtient partiellement gain de cause, sera condamné aux deux tiers des frais de la procédure d'appel (art. 428 CPP), comprenant dans leur totalité un émolument de jugement de CHF 4'000.- (art. 14 al. 1 du règlement fixant le tarif des</w:t>
      </w:r>
    </w:p>
    <w:p>
      <w:r>
        <w:t>- 27/30 - P/8266/2012 frais en matière pénale du 22 décembre 2010 [RTFMP – E 4 10.03]), le solde étant laissé à la charge de l'État. * * * * *</w:t>
      </w:r>
    </w:p>
    <w:p>
      <w:r>
        <w:t>- 28/30 - P/8266/2012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