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AARP/43/2024 vom 22. Januar 2024</w:t>
      </w:r>
    </w:p>
    <w:p>
      <w:r>
        <w:t>GE Cour de justice, 2024-01-22, FR</w:t>
      </w:r>
    </w:p>
    <w:p>
      <w:r>
        <w:rPr>
          <w:b/>
        </w:rPr>
        <w:t xml:space="preserve">Quelle: </w:t>
      </w:r>
      <w:r>
        <w:t>https://mcp.opencaselaw.ch/entscheid/ge_gerichte_AARP_43_2024</w:t>
      </w:r>
    </w:p>
    <w:p>
      <w:r>
        <w:t>FR: GE_GERICHTE AARP/43/2024 du 22 janvier 2024</w:t>
      </w:r>
    </w:p>
    <w:p>
      <w:r>
        <w:t>IT: GE_GERICHTE AARP/43/2024 del 22 gennaio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w:t>
      </w:r>
    </w:p>
    <w:p>
      <w:r>
        <w:t>2.1.1. Le principe in dubio pro reo, qui découle de la présomption d'innocence, garantie par l'art. 6 ch. 2 de la Convention de sauvegarde des droits de l'homme et des libertés fondamentales du 4 novembre 1950 (CEDH) par les art. 32 al. 1 de la Constitution fédérale de la Confédération suisse du 18 avril 1999 (Cst) et 10 al. 3 CPP, concerne tant le fardeau de la preuve que l'appréciation des preuves.</w:t>
      </w:r>
    </w:p>
    <w:p>
      <w:r>
        <w:t>- 10/20 - P/23495/2021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En vertu de l'art. 173 ch. 2 CP, l'auteur n'encourt cependant aucune peine s'il prouve que les allégations qu'il a articulées ou propagées sont conformes à la vérité ou qu'il avait des raisons sérieuses de les tenir de bonne foi pour vraies. L'art. 173 ch. 3 CP prévoit que l'auteur n'est pas admis à faire les preuves prévues par l'art. 173 ch. 2 CP,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énoncées à l'art. 173 ch. 3 CP doivent être interprétées de manière restrictive. En principe, le prévenu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 ATF 116 IV 31 consid. 3 p. 38 ; arrêt du Tribunal fédéral 6B_25/2013 du 4 juin 2013 consid. 1.1.1).</w:t>
      </w:r>
    </w:p>
    <w:p>
      <w:r>
        <w:t>- 11/20 - P/23495/2021 Le juge examine d'office si les conditions de la preuve libératoire sont remplies, mais c'est à l'auteur du comportement attentatoire à l'honneur de décider s'il veut apporter de telles preuves (ATF 137 IV 313 consid. 2.4.2 et 2.4.4). 2.2.2. L’art. 173 CP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 119 IV 44 consid. 2a).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L'utilisation d'une expression telle que, par exemple, "je considère",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2.2.3.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 arrêt du Tribunal fédéral 6B_632/2015 du 9 octobre 2015 consid. 1). Comme pour la preuve de la vérité, l'auteur supporte, s'agissant de la preuve de la bonne foi, le fardeau de la preuve, la charge de la preuve et le risque de la preuve (A. MACALUSO / L. MOREILLON / N. QUELOZ, Commentaire romand, Code pénal II, Bâle 2017, n. 40 ad art. 173). En lien avec les faits du 29 mars 2020 2.3.1. En l'espèce, il ne peut pas être exclu que des propos désagréables à connotation raciste ou islamophobe ont été proférés à l'occasion de cette altercation. Il est en effet établi que la discussion était particulièrement houleuse et il ressort de deux témoignages que des allusions à la religion ont été faites. On ne saurait toutefois accorder plus de poids à la parole des uns plutôt qu'à celle des autres ; les premiers n'avaient aucune obligation de s'incriminer, et l'épouse de l'appelant, en sus des liens</w:t>
      </w:r>
    </w:p>
    <w:p>
      <w:r>
        <w:t>- 12/20 - P/23495/2021 personnels qui la lient à ce dernier, a assisté à l'intégralité des débats de première instance avant d'être entendue en appel. Enfin, la témoin K______ n'a pas pu restituer clairement les propos ouïs, de sorte que son témoignage n'a pas de force probante suffisante. À cela s'ajoute le fait que la main courante déposée par l'appelant après l'altercation ne mentionne ni injure ni propos raciste et/ou islamophobe. L’appelant admet toutefois que l'intimée n'a personnellement pas tenu de propos racistes et/ou islamophobes, ce qui est confirmé par les témoignages recueillis. Il ne conteste par ailleurs pas que son courriel a été largement diffusé et que ses accusations étaient propres à porter atteinte à l'honneur de cette dernière, puisqu'elle était nommément englobée dans le cercle de ses détracteurs. Le caractère diffamant de ses reproches n'est, à juste titre, pas davantage nié. L'infraction est donc réalisée et il n'y a pas de place pour la preuve de la vérité. Le dossier ne permet pas d'établir avec certitude le contexte qui a amené l'appelant à diffamer l'intimée. Il a allégué à réitérées reprises qu'il ne savait plus ce qui avait été exactement dit et par qui ; il a donc pris le risque de diffamer tous les voisins cités dans son courrier, et partant l'intimée. Dans ces conditions, l'appelant échoue à apporter la preuve de la bonne foi. 2.3.2. En tout état, l'appelant a procédé sans motif suffisant : son courrier ne répondait à aucun intérêt privé ou public puisque l'incident avait été classé depuis plus d'un an au moment de la diffusion de son courrier. En lien avec les faits du 31 mars 2020</w:t>
      </w:r>
    </w:p>
    <w:p>
      <w:r>
        <w:rPr>
          <w:b/>
        </w:rPr>
        <w:t>E. 2.4</w:t>
      </w:r>
    </w:p>
    <w:p>
      <w:r>
        <w:t>L'appelant ne conteste pas que son accusation portée à l'encontre de la partie plaignante était propre à la toucher dans son honneur, en ce qu'il lui prête un comportement agressif constitutif de voies de fait, soit une conduite indigne. Le dossier ne permet pas d'établir qui, de l'intimée ou de l'appelant, a bousculé l'autre. L'appelant échoue ainsi derechef à apporter les preuves libératoires de la vérité ou de la bonne foi.</w:t>
      </w:r>
    </w:p>
    <w:p>
      <w:r>
        <w:rPr>
          <w:b/>
        </w:rPr>
        <w:t>E. 2.5</w:t>
      </w:r>
    </w:p>
    <w:p>
      <w:r>
        <w:t>Au vu de ce qui précède, l'appel sera rejeté et le verdict de culpabilité du chef diffamation confirmé.</w:t>
      </w:r>
    </w:p>
    <w:p>
      <w:r>
        <w:rPr>
          <w:b/>
        </w:rPr>
        <w:t>E. 3</w:t>
      </w:r>
    </w:p>
    <w:p>
      <w:r>
        <w:t>3.1.1. La diffamation est sanctionnée d'une peine pécuniaire de 180 jours-amende au plus (art. 173 ch. 1 CP).</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- 13/20 - P/23495/2021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L'art. 173 ch. 4 CP permet d'atténuer la peine ou de renoncer à en prononcer une si l'auteur reconnaît la fausseté de ses allégations et les rétracte. La rétractation est admise lorsque l'auteur reconnaît clairement et sans équivoque la fausseté des faits allégués et manifeste activement un repentir (ATF 112 IV 25 consid. 4). L'auteur doit démontrer par son comportement le désir qu'il a de rétablir la victime dans son honorabilité (ATF 112 IV 25 consid. 2). La simple présentation d'excuses de la part de l'auteur ou le simple retrait des déclarations attentatoires à l'honneur ne suffisent pas (ATF 112 IV 25 consid. 2 et 4). La rétractation doit intervenir sous la même forme et devant le même cercle de personnes que celui qui a eu connaissance des propos attentatoires à l'honneur (arrêt du Tribunal fédéral 6S.518/2001 du 29 novembre 2002 consid. 4.3). 3.1.4.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w:t>
      </w:r>
    </w:p>
    <w:p>
      <w:r>
        <w:t>- 14/20 - P/23495/2021 fédérale régissant la condition pénale des mineurs du 21 septembre 1998, FF 1999 p. 1871). Pour apprécier la culpabilité, il faut tenir compte de tous les éléments pertinents pour la fixation de la peine (ATF 135 IV 130 consid. 5.4 ; arrêt du Tribunal fédéral 6B_839/2015 du 26 août 2016 consid. 6.1). 3.2.1. En l'espèce, l'appelant a reconnu la fausseté de ses allégations et a présenté à plusieurs reprises des excuses. Cependant, il n'a jamais entrepris activement de rétablir l'intimée dans son honorabilité. Bien qu'il ait accepté le principe d'une médiation et ses conditions préalables, il n'y a donné aucune suite. À cet égard, il ne saurait se retrancher derrière la responsabilité de son avocat, ce d'autant moins qu'outre la médiation, il avait tout le loisir d'adresser sa rétractation écrite par le même canal de diffusion, qui n'impliquait de surcroit aucun coût ni contact physique avec les autres copropriétaires en litige. Dès lors, l'appelant ne sera pas exempté de peine sur la base de l'art. 173 ch. 4 CP. 3.2.2. La faute de l'appelant n'est pas négligeable. Il n'a pas hésité à jeter le discrédit sur sa voisine, en l'accusant ouvertement auprès de la régie et des autres copropriétaires d'avoir tenu des propos racistes et/ou islamophobes et de l'avoir agressé physiquement. Il a agi impulsivement, sans peser ses mots ni penser aux conséquences pour l'intimée, sous le coup d'une colère mal-maitrisée. Sa situation personnelle n'explique ni ne justifie ses agissements. Si sa collaboration peut être qualifiée de moyenne, sa prise de conscience n'est, en revanche, pas même amorcée, en dépit des excuses présentées. L'appelant persiste à minimiser ses actes, n'hésitant pas à se retrancher derrière la responsabilité de son avocat ou l'existence de litiges avec les autres copropriétaires pour justifier l'absence d'amendement de sa part. En outre, il est allé jusqu'à déposer plainte contre l'intimée et est résolu à la maintenir. Il ne peut se prévaloir d'aucune circonstance atténuante, ni d'un quelconque motif d'exemption de peine. En particulier, les conditions de l'art. 52 CP ne sont pas réunies. En effet, l'appelant ne perçoit pas en quoi son comportement est problématique. Ainsi, une peine s'impose pour qu'il prenne la mesure de sa faute et comprenne l'importance du respect des règles. Il n'a pas d'antécédent, facteur neutre sur la peine. Au vu de ce qui précède et compte tenu de toutes les circonstances, la peine prononcée par le premier juge s'avère trop sévère, raison pour laquelle elle sera</w:t>
      </w:r>
    </w:p>
    <w:p>
      <w:r>
        <w:t>- 15/20 - P/23495/2021 ramenée à 60 jours-amende à CHF 50.- l'unité. Le sursis lui est acquis et son délai d'épreuve de trois ans, adéquat, sera confirmé.</w:t>
      </w:r>
    </w:p>
    <w:p>
      <w:r>
        <w:rPr>
          <w:b/>
        </w:rPr>
        <w:t>E. 4</w:t>
      </w:r>
    </w:p>
    <w:p>
      <w:r>
        <w:t>L'appelant succombe sur l'essentiel de ses conclusions, hormis la question des dépens dus à l'intimé comme développé ci-après (cf. infra ch. 5). De plus, il obtient partiellement gain de cause puisque sa peine est atténuée, bien qu'aucun argument n'ait été plaidé dans ce sens. Il supportera donc les deux tiers des frais de la procédure d'appel envers l'État, lesquels comprendront un émolument d'arrêt de CHF 1'500.- (art. 428 al. 1 CPP ; art. 14 al. 1 let. e du règlement fixant le tarif des frais en matière pénale [RTFMP]). Il en ira de même de l'émolument complémentaire de jugement, fixé par le premier juge à CHF 1'000.-. Le solde sera laissé à la charge de l'État. Il n'y a sinon pas lieu de revoir la répartition des frais de première instance.</w:t>
      </w:r>
    </w:p>
    <w:p>
      <w:r>
        <w:rPr>
          <w:b/>
        </w:rPr>
        <w:t>E. 5</w:t>
      </w:r>
    </w:p>
    <w:p>
      <w:r>
        <w:t>5.1.1. 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(arrêts du Tribunal fédéral 6B_549/2015 du 16 mars 2016 consid. 2.3 in SJ 2017 I 37). 5.1.2.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 de la Cour de justice AARP/38/2018 du 26 janvier 2018 consid. 7).</w:t>
      </w:r>
    </w:p>
    <w:p>
      <w:r>
        <w:rPr>
          <w:b/>
        </w:rPr>
        <w:t>E. 5.2</w:t>
      </w:r>
    </w:p>
    <w:p>
      <w:r>
        <w:t>En l'espèce, l'intimée a obtenu la condamnation de l'appelant en première instance et en appel, si bien que le principe de l'indemnisation de ses dépenses obligatoires lui est acquis. Le premier juge a réduit les 35 heures et 25 minutes facturées réclamées pour la procédure préliminaire et de première instance à 24 heures et 45 minutes. Faute d’appel joint de la partie plaignante, c’est cette indemnité qui forme l’objet de l’appel. Considérant la complexité relative de l'affaire et la nature de la cause, l'activité de correspondance déployée est disproportionnée par rapport à ce que commandait l'évolution de la procédure, de même que le temps</w:t>
      </w:r>
    </w:p>
    <w:p>
      <w:r>
        <w:t>- 16/20 - P/23495/2021 consacré à la préparation des audiences, et la réduction opérée par le premier juge adéquate. L’appelant échoue toutefois à démontrer (il ne s’y est pas du tout attaché) qu’une réduction plus importante s’imposerait.</w:t>
      </w:r>
    </w:p>
    <w:p>
      <w:r>
        <w:t>L’activité pour la procédure d’appel, soit plus de 20 heures alors que le dossier était connu pour avoir été plaidé quelques mois plus tôt en première instance, apparaît également démesurée. Par voie de comparaison, l'appelant a sollicité l'indemnisation de sept heures d'activité d'avocat-stagiaire pour la première instance, étant précisé qu'il n’était pas assisté d’un conseil à l'audience de jugement, et de 13 heures et 50 minutes d'activité d'associée pour la seconde instance, hors débats d'appel (3h20), étant précisé que son avocate a dû prendre connaissance de l'intégralité du dossier. En conséquence, l'activité globale pour la procédure préliminaire, les débats de première instance et d’appel, sera réduite ex aequo et bono à 30 heures d’activité de chef d'étude, étant précisé que le tarif horaire sera également ramené à CHF 450.-, conformément à la pratique de la Cour. L'indemnité pour les dépenses nécessaires de l'intimée, pour l’ensemble de la procédure, sera ainsi arrêtée à CHF 14'721.50, comprenant CHF 182.- de débours et CHF 1'039.50 de TVA au taux de 7.7%.</w:t>
      </w:r>
    </w:p>
    <w:p>
      <w:r>
        <w:rPr>
          <w:b/>
        </w:rPr>
        <w:t>E. 6</w:t>
      </w:r>
    </w:p>
    <w:p>
      <w:r>
        <w:t>6.1.1. Selon l'art. 436 al. 2 CPP, si ni un acquittement total ou partiel, ni un classement de la procédure ne sont prononcés mais que le prévenu obtient gain de cause sur d’autres points, il a droit à une juste indemnité pour ses dépenses. 6.1.2. L'art. 429 al. 3 CPP, auquel renvoie l'art. 436 al. 1 CPP, prévoit que lorsque le prévenu a chargé un défenseur privé de sa défense, celui-ci a un droit exclusif à l’indemnité prévue à l’al. 1, let. a, sous réserve de règlement de compte avec son client. Le défenseur peut contester la décision fixant l’indemnité en usant des voies de droit autorisées pour attaquer la décision finale (art. 429 al. 3 CPP). 6.1.3. La question de l'indemnisation doit être traitée après celle des frais. Dans cette mesure, la décision sur les frais préjuge de la question de l'indemnisation (ATF 144 IV 207 consid. 1.8.2). Lorsque la condamnation aux frais n'est que partielle, la réduction de l'indemnité devrait s'opérer dans la même mesure (arrêts du Tribunal fédéral 6B_548/2018 du 18 juillet 2018 consid. 1.1.2 ; 6B_1238/2017 du 12 avril 2018 consid. 2.1).</w:t>
      </w:r>
    </w:p>
    <w:p>
      <w:r>
        <w:rPr>
          <w:b/>
        </w:rPr>
        <w:t>E. 6.2</w:t>
      </w:r>
    </w:p>
    <w:p>
      <w:r>
        <w:t>En l'espèce, à l'instar de ce qui vaut pour la répartition des frais, aucune indemnité n'est due pour la procédure préliminaire et de première instance.</w:t>
      </w:r>
    </w:p>
    <w:p>
      <w:r>
        <w:t>- 17/20 - P/23495/2021 En revanche, pour l'appel, l'appelant sera indemnisé à hauteur de CHF 2'465.15, correspondant au tiers de ses prétentions (17h10 x CHF 400.- + la TVA en 7,7% x 1/3). Cette indemnité sera allouée en son nom et compensée, à due concurrence, avec les frais mis à sa charge (art. 442 al. 4 CPP). En effet, dans la mesure où l'appelant a conclu, à la veille de l'entrée en vigueur des nouvelles dispositions du CPP, à l'allocation à titre personnel de cette indemnité, la Cour en déduit que son avocate ne souhaitait pas se prévaloir de l'application de l'art. 429 al. 3 ab initio CPP. * * * * *</w:t>
      </w:r>
    </w:p>
    <w:p>
      <w:r>
        <w:t>- 18/20 - P/23495/2021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