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AARP/43/2021 vom 12. Februar 2021</w:t>
      </w:r>
    </w:p>
    <w:p>
      <w:r>
        <w:t>GE Cour de justice, 2021-02-12, FR</w:t>
      </w:r>
    </w:p>
    <w:p>
      <w:r>
        <w:rPr>
          <w:b/>
        </w:rPr>
        <w:t xml:space="preserve">Quelle: </w:t>
      </w:r>
      <w:r>
        <w:t>https://mcp.opencaselaw.ch/entscheid/ge_gerichte_AARP_43_2021</w:t>
      </w:r>
    </w:p>
    <w:p>
      <w:r>
        <w:t>FR: GE_GERICHTE AARP/43/2021 du 12 février 2021</w:t>
      </w:r>
    </w:p>
    <w:p>
      <w:r>
        <w:t>IT: GE_GERICHTE AARP/43/2021 del 12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1.4</w:t>
      </w:r>
    </w:p>
    <w:p>
      <w:r>
        <w:t>grammes, est d'une certaine importance. Son mobile relève de son simple agrément de demeurer sur le territoire pour ce qui est des infractions à la législation sur les étrangers et de l'appât du gain facile s'agissant de l'infraction à la loi sur les stupéfiants. L'appelant a ainsi agi au mépris des règles régissant l'entrée dans le canton et de la santé des consommateurs. Sa collaboration ne peut être qualifiée de bonne. S'il a, pour l'essentiel, reconnu immédiatement les faits qui lui étaient reprochés, il pouvait difficilement en aller autrement compte tenu des circonstances de ses interpellations. Il a pour le surplus persisté à contester son séjour illégal en Suisse et à justifier sa venue à Genève en dépit d'une interdiction. Dans ce contexte, sa prise de conscience est à relativiser. Sa situation personnelle n'est certes pas confortable, mais ne justifie aucunement son comportement. Le prononcé d'une peine pécuniaire, non contesté en appel, est acquis à l'appelant, de même que l'octroi du sursis et la durée du délai d'épreuve de trois ans (art. 391 al. 2 CPP).</w:t>
      </w:r>
    </w:p>
    <w:p>
      <w:r>
        <w:t>- 10/14 - P/18837/2019 La peine pécuniaire pour l'infraction la plus grave (deux non-respects d'une interdiction de pénétrer dans une région déterminée) sera fixée à 45 jours-amende. Il convient d'étendre cette peine à 75 jours-amende (peine hypothétique de 35 jours- amende) pour le trafic de stupéfiants, puis à 105 jours-amende (peine hypothétique de 35 jours-amende) pour le séjour illégal long de plus de trois mois, enfin à 120 jours-amende (peine hypothétique de 20 jours-amende) pour tenir compte de l'entrée illégale. Au vu des éléments qui précèdent, la peine pécuniaire de 120 jours-amende fixée par le premier juge apparaît justifiée et proportionnée et devra, partant, être confirmée. Le montant du jour-amende, arrêté à CHF 30.-, est adéquat au regard de la situation économique de l'appelant, dès lors que sa situation financière, bien que modeste, n'atteint pas le seuil nécessaire pour justifier une réduction à CHF 10.-, réservée aux situations exceptionnelles. Enfin, s'agissant de l'amende sanctionnant l'infraction à l'art. 19a ch. 1 LStup, non contestée par l'appelant, le montant de CHF 100.-, fixé par le premier juge, consacre une application correcte de la loi et sera confirmé, de même que la peine privative de liberté de substitution d'un jour (art. 42 al. 4 et 106 al. 2 et 3 CP). Le jugement entrepris sera donc intégralement confirmé.</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w:t>
      </w:r>
    </w:p>
    <w:p>
      <w:r>
        <w:t>- 6/14 - P/18837/2019 Agit sous l'emprise d'une erreur sur les faits celui qui n'a pas connaissance ou qui se base sur une appréciation erronée d'un élément constitutif d'une infraction pénale. L'intention délictuelle fait défaut (ATF 129 IV 238 consid. 3.1 p. 240).</w:t>
      </w:r>
    </w:p>
    <w:p>
      <w:r>
        <w:rPr>
          <w:b/>
        </w:rPr>
        <w:t>E. 2.2</w:t>
      </w:r>
    </w:p>
    <w:p>
      <w:r>
        <w:t>A teneur de l'art. 115 al. 1 let. b LEI, sera puni d'une peine privative de liberté d'un an au plus ou d'une peine pécuniaire, quiconque séjourne illégalement en Suisse.</w:t>
      </w:r>
    </w:p>
    <w:p>
      <w:r>
        <w:rPr>
          <w:b/>
        </w:rPr>
        <w:t>E. 2.3</w:t>
      </w:r>
    </w:p>
    <w:p>
      <w:r>
        <w:t>L'art. 119 al. 1 LEI punit quiconque enfreint une assignation à un lieu de résidence ou une interdiction de pénétrer dans une région déterminée.</w:t>
      </w:r>
    </w:p>
    <w:p>
      <w:r>
        <w:rPr>
          <w:b/>
        </w:rPr>
        <w:t>E. 2.4</w:t>
      </w:r>
    </w:p>
    <w:p>
      <w:r>
        <w:t>En l'espèce, l'appelant ne conteste pas, à juste titre, sa culpabilité des chefs d'infractions aux art. 19 al. 1 let. c et 19a LStup, 115 al. 1 let. a LEI et 119 al. 1 LEI s'agissant des faits du 8 octobre 2019, laquelle sera donc confirmée.</w:t>
      </w:r>
    </w:p>
    <w:p>
      <w:r>
        <w:rPr>
          <w:b/>
        </w:rPr>
        <w:t>E. 2.4.1</w:t>
      </w:r>
    </w:p>
    <w:p>
      <w:r>
        <w:t>La présence de l'appelant sur le territoire suisse entre le 10 octobre 2019 et le 20 janvier 2020 repose tout d'abord sur ses propres déclarations à la police, à cette dernière date, selon lesquelles il vivait chez E______ [association] à Genève depuis trois mois. Ses dénégations et explications ultérieures n'apparaissent pas crédibles, dès lors que l'on comprend difficilement en quoi le fait de se prévaloir, auprès des autorités suisses de poursuite pénale, d'un séjour de longue durée dans ce pays, serait susceptible d'améliorer sa situation. Par ailleurs, la possession, par l'appelant, d'un téléphone portable muni d'un raccordement suisse vient confirmer la thèse de sa présence en Suisse durant la période considérée. En effet, au-delà du fait que ce choix apparaît incohérent d'un point de vue financier et en termes de praticité, les déclarations de l'appelant à teneur desquelles il aurait souhaité conserver son raccordement lors son départ de Suisse – qu'il situe le 14 septembre 2019 – afin que ses contacts puissent continuer à le joindre, sont mises à néant par son changement de numéro intervenu entre ses interpellations des 13 septembre et 8 octobre 2019. Enfin, l'intention, exprimée par l'appelant le 20 janvier 2020, de faire ses courses à la Migros, où les prix sont notoirement plus élevés que dans les supermarchés français, achève de convaincre la CPAR que celui-ci vivait bel et bien sur le territoire suisse durant la période pénale considérée. On relèvera encore que d'éventuels aller-retours avec la France survenus avant la période pénale visée ne viennent aucunement attester d'un domicile dans ce pays. Il en va de même de l'absence d'interpellation de l'appelant entre le 8 octobre 2019 et le 20 janvier 2020, qui relève manifestement davantage du hasard que d'une conformité de sa situation au droit.</w:t>
      </w:r>
    </w:p>
    <w:p>
      <w:r>
        <w:t>- 7/14 - P/18837/2019 Il résulte de ce qui précède que le séjour illégal de l'appelant est attesté par un faisceau d'indices convergents, dont ses déclarations à la police le 20 janvier 202 ne sont en réalité qu'un des maillons. Partant, sa condamnation du chef d'infraction à l'art. 115 al. 1 let. b LEI sera confirmée.</w:t>
      </w:r>
    </w:p>
    <w:p>
      <w:r>
        <w:rPr>
          <w:b/>
        </w:rPr>
        <w:t>E. 2.4.2</w:t>
      </w:r>
    </w:p>
    <w:p>
      <w:r>
        <w:t>Pour le surplus, l'appelant ne saurait être mis au bénéfice d'une erreur sur les faits en relation avec l'infraction à l'art. 119 al. 1 LEI commise le 20 janvier 2020. En effet, il a lui-même admis avoir connaissance de l'interdiction de pénétrer sur le territoire genevois prononcée à son encontre, dont il ne pouvait ignorer la teneur, dès lors que ce document lui avait dûment été traduit en anglais. Par ailleurs, l'appelant ne conteste pas qu'il était dépourvu, au moment des faits, d'une autorisation valable de séjourner en Suisse. Il a ainsi sciemment violé l'interdiction qui lui avait été signifiée, de sorte que sa culpabilité sera également confirmée sur ce point.</w:t>
      </w:r>
    </w:p>
    <w:p>
      <w:r>
        <w:rPr>
          <w:b/>
        </w:rPr>
        <w:t>E. 3</w:t>
      </w:r>
    </w:p>
    <w:p>
      <w:r>
        <w:t>3.1.1. Les infractions aux art. 19 al. 1 let. c LStup et 119 al. 1 LEI, sont passibles d'une peine privative de liberté de trois ans ou d'une peine pécuniaire. L'infraction à l'art. 115 al. 1 let. a et b LEI est passible d'une peine privative de liberté d'un an ou d'une peine pécuniaire. Enfin, l'auteur d'infraction à l'art. 19a ch. 1 LStup est puni d'une 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- 8/14 - P/18837/2019 familiales, situation professionnelle, risque de récidive, etc.), la vulnérabilité face à la peine, de même que le comportement après l'acte et au cours de la procédure pénale (ATF 142 IV 137 consid. 9.1 ; 141 IV 61 consid. 6.1.1). 3.1.3.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Le minimum vital que le juge doit prendre en considération est inférieur à celui qui est prévu par l'art. 93 de la loi fédérale sur la poursuite pour dettes et la faillite (LP), qui comprend des sommes déjà prises en compte par le juge pénal. De plus, le minimum vital établi par la LP inclut un certain montant à titre de loisirs, qui ne saurait être soustrait au paiement de la peine pécuniaire. Ainsi, le montant du jour- amende ne peut pas être assimilé à la part du revenu qui reste à l'auteur, une fois déduit le minimum vital prévu par le droit de la poursuite. Une telle solution aboutirait au prononcé d'une peine pécuniaire nulle pour une grande partie de la population. Or, le système des jours-amende s'applique à tout individu, ce qui n'exclut pas ceux qui ont un revenu très bas, voire inférieur au minimum vital (M. DUPUIS / L. MOREILLON / C. PIGUET / S. BERGER / M. MAZOU / V. RODIGARI [éds], Code pénal - Petit commentaire, 2ème éd., Bâle 2017, N 23 et 24 ad art. 34 CP et les références). 3.1.4. Aux termes de l'art. 42 al. 1 CP, le juge suspend en règle générale l'exécution d'une peine pécuniaire ou d'une peine privative de liberté de deux ans au plus lorsqu'une peine ferme ne paraît pas nécessaire pour détourner l'auteur d'autres crimes ou délits. 3.1.5. Selon l'art. 106 al. 3 CP, l'amende, de même que la peine privative de liberté de substitution, doit être fixée en tenant compte de la situation de l'auteur afin que la peine corresponde à la faute commise. A l'instar de toute autre peine, l'amende doit donc être fixée conformément à l'art. 47 CP (arrêts du Tribunal fédéral 6B_337/2015 du 5 juin 2015 consid. 4.1 ; 6B_988/2010 du 3 mars 2011 consid. 2.1 et 6B_264/2007 du 19 septembre 2007 consid. 4.5). 3.1.6. D'après l'art. 49 al. 1 CP, si, en raison d'un ou de plusieurs actes, l'auteur remplit les conditions de plusieurs peines de même genre, le juge le condamne à la peine de l'infraction la plus grave et l'augmente dans une juste proportion.</w:t>
      </w:r>
    </w:p>
    <w:p>
      <w:r>
        <w:t>- 9/14 - P/18837/2019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93 IV 7 ; 116 IV 300 consid. 2c/dd p. 305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3.2</w:t>
      </w:r>
    </w:p>
    <w:p>
      <w:r>
        <w:t>En l'espèce, la faute de l'appelant relative aux infractions abstraitement et concrètement les plus graves, soit l'entrée dans le canton de Genève en dépit d'une interdiction, ainsi que la vente d'un sachet de marijuana d'un poids total de</w:t>
      </w:r>
    </w:p>
    <w:p>
      <w:r>
        <w:rPr>
          <w:b/>
        </w:rPr>
        <w:t>E. 4</w:t>
      </w:r>
    </w:p>
    <w:p>
      <w:r>
        <w:t>L'appelant, qui succombe, supportera les frais de la procédure envers l'Etat (art. 428 CPP).</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w:t>
      </w:r>
    </w:p>
    <w:p>
      <w:r>
        <w:t>- 11/14 - P/18837/2019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 AARP/184/2016 du 28 avril 2016 consid. 5.3.1, AARP/158/2016 du 22 avril 2016 consid. 6.3 et AARP/525/2015 du 14 décembre 2015 consid. 7.2.2). Des exceptions demeurent possibles, charge à l'avocat de justifier l'ampleur d'opérations dont la couverture ne serait pas assurée par le forfait.</w:t>
      </w:r>
    </w:p>
    <w:p>
      <w:r>
        <w:rPr>
          <w:b/>
        </w:rPr>
        <w:t>E. 5.3</w:t>
      </w:r>
    </w:p>
    <w:p>
      <w:r>
        <w:t>En l'occurrence, les cinq heures consacrées à la rédaction du mémoire d'appel apparaissent excessives compte tenu de la nature et de la complexité relative de la cause, dans un dossier censé être maîtrisé pour avoir été plaidé en première instance à peine plus de quatre mois plus tôt. Il convient donc de ramener l'activité y relative à trois heures. Le temps consacré à l'examen du jugement entrepris ainsi qu'à la rédaction de la déclaration d'appel, activités couvertes par le forfait, sera par ailleurs retranché.</w:t>
      </w:r>
    </w:p>
    <w:p>
      <w:r>
        <w:t>En conclusion, la rémunération de Me B______ sera arrêtée à CHF 960.- correspondant à quatre heures d'activité au tarif de CHF 200.-/heure, plus la majoration forfaitaire de 20%. * * * * *</w:t>
      </w:r>
    </w:p>
    <w:p>
      <w:r>
        <w:t>- 12/14 - P/18837/2019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