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AARP/43/2020 vom 7. Juli 2019</w:t>
      </w:r>
    </w:p>
    <w:p>
      <w:r>
        <w:t>GE Cour de justice, 2019-07-07, FR</w:t>
      </w:r>
    </w:p>
    <w:p>
      <w:r>
        <w:rPr>
          <w:b/>
        </w:rPr>
        <w:t xml:space="preserve">Quelle: </w:t>
      </w:r>
      <w:r>
        <w:t>https://mcp.opencaselaw.ch/entscheid/ge_gerichte_AARP_43_2020</w:t>
      </w:r>
    </w:p>
    <w:p>
      <w:r>
        <w:t>FR: GE_GERICHTE AARP/43/2020 du 7 juillet 2019</w:t>
      </w:r>
    </w:p>
    <w:p>
      <w:r>
        <w:t>IT: GE_GERICHTE AARP/43/2020 del 7 luglio 2019</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1.2</w:t>
      </w:r>
    </w:p>
    <w:p>
      <w:r>
        <w:t>Lorsque des contraventions font seules l'objet du prononcé attaqué et que l'appel ou la demande de révision ne vise pas une déclaration de culpabilité pour un crime ou un délit, la direction de la procédure statue (art. 129 al. 4 LOJ).</w:t>
      </w:r>
    </w:p>
    <w:p>
      <w:r>
        <w:rPr>
          <w:b/>
        </w:rPr>
        <w:t>E. 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w:t>
      </w:r>
    </w:p>
    <w:p>
      <w:r>
        <w:t>- 4/7 - P/21864/2018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3.2</w:t>
      </w:r>
    </w:p>
    <w:p>
      <w:r>
        <w:t>Lorsque l'appréciation des preuves et la constatation des faits sont critiquées en référence au principe in dubio pro reo, celui-ci n'a pas de portée plus large que l'interdiction de l'arbitraire (ATF 138 V 74 consid. 7 p. 82). Une décision n'est pas</w:t>
      </w:r>
    </w:p>
    <w:p>
      <w:r>
        <w:t>- 5/7 - P/21864/2018 arbitraire du seul fait qu'elle apparaît discutable ou même critiquable; il faut qu'elle soit manifestement insoutenable, et cela non seulement dans sa motivation mais aussi dans son résultat (ATF 142 II 369 consid. 4.3).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4. 4.1.1. L'art. 139 ch. 1 CP réprime le comportement de celui qui, pour se procurer ou procurer à un tiers un enrichissement illégitime, aura soustrait une chose mobilière appartenant à autrui dans le but de se l'approprier. Le vol est une infraction de nature intentionnelle. L'élément subjectif doit englober l'appartenance à autrui de la chose mobilière et l'auteur doit s'accaparer cette dernière avec conscience et volonté (M. DUPUIS / B. GELLER / G. MONNIER / L. MOREILLON / C. PIGUET / C. BETTEX / D. STOLL [éds], Code pénal - Petit commentaire, 2e éd., Bâle 2017, n. 13 ad art. 139). 4.1.2. Selon l'art. 172ter al. 1 CP, applicable aux infractions du titre 2 de la partie spéciale du Code pénal, si l'acte ne visait qu'un élément patrimonial de faible valeur ou un dommage de moindre importance, l'auteur sera, sur plainte, puni d'une amende. S'agissant d'objets ayant une valeur marchande ou ayant une valeur objectivement déterminable, celle-ci est seule pertinente pour déterminer si l'acte ne visait qu'un élément patrimonial de faible valeur au sens de l'art. 172ter al. 1 CP (ATF 123 IV 113 consid. 3d ; ATF 121 IV 261 consid. 2c). La limite jusqu'à laquelle cette disposition est applicable a été fixée à CHF 300.- (ATF 142 IV 129 consid. 3.1 ; ATF 123 IV 113 consid. 3d). 4.2. En l'espèce, il est constant que l'intimé s'est rendu à la station-service le 17 mai 2017 afin de mettre de l'essence dans sa voiture, ce qu'il admet. Il a toutefois toujours contesté, que ce soit dans son opposition ou lors de l'audience de jugement, n'avoir pas payé la station-service de manière intentionnelle, ne pouvant expliquer ce fait que par un oubli de la caissière dans la mesure où il consommait également des viennoiseries et des boissons chaudes sur place. Il n'a jamais varié dans ses déclarations, expliquant en outre être un client régulier, encore actuellement, de la station-service se situant à proximité de son lieu de travail, et avoir toujours fait preuve de probité de par ses emplois au sein de la Gendarmerie nationale française et dans le domaine de la sécurité, déclarations qui ne sont au demeurant contredites par aucun élément du dossier. Hormis la production d'une facture relative à un prélèvement de diesel pour un montant de CHF 26.90 et une photographie extraite des images de vidéosurveillance montrant l'intimé mettre de l'essence dans sa voiture, rien ne permet d'affirmer que celui-ci n'a pas payé la station-service ou encore qu'il ne l'a pas fait intentionnellement. Aucun acte d'instruction</w:t>
      </w:r>
    </w:p>
    <w:p>
      <w:r>
        <w:t>- 6/7 - P/21864/2018 supplémentaire n'a été réalisé, notamment tels que ceux mentionnés par le MP dans son mémoire d'appel, qui ne peuvent plus intervenir à ce stade de la procédure, étant pour le surplus relevé qu'il est fort probable que la caissière ne se souvienne plus des faits qui remontent à plus de deux ans. Contrairement à ce qu'allègue le MP, le TP n'a pas retenu une négligence de la part de l'intimé en se fondant uniquement sur les déclarations de celui-ci, mais l'a acquitté de vol d'importance mineure en raison de l'absence d'éléments de preuve suffisant au dossier, absence laissant demeurer un doute insurmontable sur le fait que l'intimé a, de manière intentionnelle, quitté la station-service sans payer sa facture d'essence. On notera à cet égard que le fait que l'intimé se soit rendu à la même station-service le 20 mai 2017, ce que n'a pas contesté la partie plaignante, ne témoigne à l'évidence pas d'un vol intentionnel commis au même endroit trois jours plus tôt. Le raisonnement du premier juge ne paraît pas ainsi manifestement inexact ou insoutenable. Son appréciation des faits n'est partant pas entachée d'arbitraire. Ainsi, l'appel du MP sera rejeté.</w:t>
      </w:r>
    </w:p>
    <w:p>
      <w:r>
        <w:rPr>
          <w:b/>
        </w:rPr>
        <w:t>E. 5</w:t>
      </w:r>
    </w:p>
    <w:p>
      <w:r>
        <w:t>Vue l'issue de la procédure, les frais seront laissés à la charge de l'Etat.</w:t>
      </w:r>
    </w:p>
    <w:p>
      <w:r>
        <w:t>* * * * *</w:t>
      </w:r>
    </w:p>
    <w:p>
      <w:r>
        <w:t>- 7/7 - P/21864/2018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