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AARP/439/2014 vom 15. Oktober 2014</w:t>
      </w:r>
    </w:p>
    <w:p>
      <w:r>
        <w:t>GE Cour de justice, 2014-10-15, FR</w:t>
      </w:r>
    </w:p>
    <w:p>
      <w:r>
        <w:rPr>
          <w:b/>
        </w:rPr>
        <w:t xml:space="preserve">Quelle: </w:t>
      </w:r>
      <w:r>
        <w:t>https://mcp.opencaselaw.ch/entscheid/ge_gerichte_AARP_439_2014</w:t>
      </w:r>
    </w:p>
    <w:p>
      <w:r>
        <w:t>FR: GE_GERICHTE AARP/439/2014 du 15 octobre 2014</w:t>
      </w:r>
    </w:p>
    <w:p>
      <w:r>
        <w:t>IT: GE_GERICHTE AARP/439/2014 del 15 ottobre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- 17/28 - P/4202/2012</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D'après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6B_44/2014 du 10 juillet 2014, consid. 2.2 ; 6B_614/2012 du 15 février 2013 consid. 3.2.3, 6B_509/2012 du 22 novembre 2012 consid. 3.2).</w:t>
      </w:r>
    </w:p>
    <w:p>
      <w:r>
        <w:rPr>
          <w:b/>
        </w:rPr>
        <w:t>E. 2.2</w:t>
      </w:r>
    </w:p>
    <w:p>
      <w:r>
        <w:t>Les experts privés mandatés par l'appelant Y______ ont opéré un calcul purement théorique de l'alcoolémie de la partie plaignante et ont, pour ce faire, dû déterminer la quantité d'alcool consommée par celle-ci en se fondant sur ses déclarations, par définition peu fiables vu les circonstances, et sur leur propre appréciation du contenu de chaque verre. C'est dire que ledit calcul ne peut être opposé à l'analyse toxicologique, dont la méthode scientifique n'est pas contestée et</w:t>
      </w:r>
    </w:p>
    <w:p>
      <w:r>
        <w:t>- 18/28 - P/4202/2012 qui est basée sur une donnée objective, soit le taux d'alcoolémie dans le sang de la partie plaignante, pas plus qu'il ne peut même prétendre affiner la fourchette résultant de ladite analyse. De surcroît, selon les experts privés, leur propre résultat est compatible avec des effets tels perte de conscience ou de volonté, incapacité de se mouvoir et/ou de résister, de sorte qu'on ne voit pas en quoi leur travail permettrait d'appuyer la thèse selon laquelle la partie plaignante n'était pas incapable de discernement ou de résistance lors des faits. Une appréciation anticipée de la preuve que l'appelant Y______ souhaitait produire conduit ainsi à la conclusion que celle-ci n'est pas pertinente pour l'issue de la procédure.</w:t>
      </w:r>
    </w:p>
    <w:p>
      <w:r>
        <w:t>A cela s'ajoute que la démarche est tardive, l'appelant, dûment assisté d'un défenseur, sachant depuis le début de la procédure que la question de l'état de la partie plaignante est une question déterminante. Il lui aurait donc appartenu, s'il estimait insuffisants ou incomplets les éléments réunis par le MP, de requérir un complément d'expertise plutôt que d'attendre la procédure d'appel pour prétendre en mettre en œuvre une lui-même, tout en éludant le principe du contradictoire.</w:t>
      </w:r>
    </w:p>
    <w:p>
      <w:r>
        <w:t>Pour ces motifs, la CPAR a décidé à l'audience de ne pas verser au dossier le bordereau de pièces produit par l'appelant Y______ avec son courrier du 4 septembre 2014.</w:t>
      </w:r>
    </w:p>
    <w:p>
      <w:r>
        <w:rPr>
          <w:b/>
        </w:rPr>
        <w:t>E. 3</w:t>
      </w:r>
    </w:p>
    <w:p>
      <w:r>
        <w:t>gr. o/oo, sa responsabilité sera en règle générale diminuée, alors qu'en dessous de 2 gr. o/oo, on admettra en principe une responsabilité pleine et entière. Il ne s'agit cependant que d'une présomption, par ailleurs réfragrable, qui peut être renversée en</w:t>
      </w:r>
    </w:p>
    <w:p>
      <w:r>
        <w:t>- 20/28 - P/4202/2012 raison d'indices contraires (ATF 122 IV 49 consid. 1b p. 50 ; 119 IV 120 consid. 2b p. 123 ; 117 IV 292 consid. 2d p. 296 ; arrêt du Tribunal fédéral 6B_960/2009 du 30 mars 2010 consid. 1.2). 3.2.2. L'art. 200 CP érige en circonstance aggravante la commission en commun d'infractions contre l'intégrité sexuelle, telle celle de l'art. 191 CP. 3.3.1. Le dossier ne contient pas de preuve indiscutable – ce qui est fréquent dans ce type d'affaires – mais bien divers indices, à charge et à décharge, qu'il s'agit d'apprécier pour déterminer si la thèse de l'accusation peut être tenue pour établie, au-delà de tout doute raisonnable. 3.3.2. Au chapitre des éléments à charge, il y a le résultat du calcul en retour qui donne un taux d'alcoolémie non négligeable de la partie plaignante. Certes, la fourchette est large et le résultat le plus favorable à la défense n'est guère compatible avec un état d'incapacité complet. Les déclarations des témoins entendus, celles de l'intéressée et celles des prévenus eux-mêmes conduisent cependant à penser que l'alcoolémie de la partie plaignante devait être élevée, vu ses difficultés à marcher seule dès l'arrivée aux pieds de l'immeuble où les faits se sont déroulés et sa somnolence, qui ont perduré jusqu'au passage dans la chambre, son amnésie d'une partie des événements et son état lors de l'intervention du concierge de l'immeuble puis de la police. Contrairement à ce que soutient l'appelant Y______, le fait d'avoir dormi sur le canapé durant l'after était peu susceptible de permettre à la partie plaignante de reprendre ses esprits, eu égard à la vitesse d'élimination de l'alcool par l'organisme. D'une façon générale, la partie plaignante est crédible. Ses déclarations sont en effet cohérentes et sont au demeurant compatibles avec celles des appelants. De plus, tout au long de la procédure, la partie plaignante a fait preuve de sincérité, n'hésitant pas à admettre son absence de souvenirs et concédant qu'elle avait envisagé d'avoir une relation sexuelle avec l'appelant Y______, comme il lui arrivait assez fréquemment d'en avoir avec des hommes à peine rencontrés. Il n'y a dès lors pas de raisons de ne pas la suivre lorsqu'elle affirme qu'en revanche le triolisme et la sodomie ne faisaient pas partie de ses pratiques sexuelles. Le fait que l'appelant X______ ait pénétré analement la partie plaignante sans lui demander si elle était d'accord avec un tel acte est aussi un indice à charge dans la mesure où ce prévenu admet lui-même considérer que la sodomie n'est pas un acte habituel de sorte qu'on aurait plutôt attendu de lui qu'il interpelle sa supposée partenaire sur ce point, s'il avait considéré qu'elle était en mesure de se déterminer. Pour leur part, les appelants ont fait des déclarations qui ne sont pas exemptes de contradictions, tant s'agissant des variations internes au récit de chacun d'eux que de</w:t>
      </w:r>
    </w:p>
    <w:p>
      <w:r>
        <w:t>- 21/28 - P/4202/2012 divergences entre eux. Si certaines de ces contradictions peuvent être mises sur le compte des circonstances (les prévenus eux-mêmes n'étaient pas sobres lors des faits, manque de sommeil, choc de l'arrestation et de l'accusation) voire du fait qu'elles portent sur des éléments qui n'ont pas nécessairement marqué leur esprit, vu leur insignifiance apparente, les variations sur la question censée avoir été posée à deux reprises à la partie plaignante tendant à s'assurer de son consentement sont plus difficilement compréhensibles. Ainsi, l'appelant Y______ a-t-il tantôt affirmé que lorsqu'il avait demandé à la partie plaignante, à la sortie de la discothèque, si elle était intéressée par un rapport à trois, celle-ci avait répondu par l'affirmative et tantôt que la conversation avait été coupée, parce qu'il avait découvert la disparition de son porte-monnaie. De même, il a commencé par déclarer qu'il ne savait plus qui de lui ou de son comparse avait proposé à l'intimée de passer dans la chambre, pour ensuite affirmer que c'était lui. Pour sa part, l'appelant X______ a dit à la police ne pas avoir entendu son ami poser cette dernière question avant d'affirmer le contraire, à compter de son audition par le TMC, ce qui n'est pas un simple complément mais bien une version tout à fait différente de la précédente. Il est vrai toutefois qu'à teneur du dossier les intéressés n'avaient apparemment pas pu communiquer avant ce revirement de sorte qu'on ne peut affirmer qu'il y a eu collusion. 3.3.3. A décharge, il faut tout d'abord observer que la partie plaignante se souvient en définitive assez bien des actes eux-mêmes, son récit correspondant à celui des appelants. En outre, comme souligné par les appelants, elle reconnait avoir prodigué une fellation, n'excluant pas avoir, dans ce contexte, au moins eu des mouvements de succion, et avoir manifesté intelligiblement son désaccord avec la pénétration anale. Elle s'est inquiétée de l'usage de préservatifs, et s'en est assurée en touchant le pénis de l'appelant X______. Si elle ne se souvient pas avoir plaisanté des difficultés d'érection de l'appelant Y______, elle ne l'exclut pas non plus et ce détail est plutôt crédible, pour être peu anodin et constant dans les déclarations de ce prévenu, ultérieurement confirmées par son comparse. Ces éléments plaident contre un état complet d'incapacité de discernement ou de résister de la victime, au sens de l'art. 191 CP. Le fait que l'appelant X______ ait interrompu la pénétration anale lorsque la partie plaignante a manifesté de la douleur est favorable à la défense. En ce qui concerne l'état de la partie plaignante, il faut aussi rappeler qu'alors qu'elle dit ne pas pouvoir reconnaître l'homme en compagnie duquel elle avait envisagé de terminer la soirée, elle avait néanmoins dansé avec lui et l'avait embrassé, de sorte que la faiblesse de ses souvenirs de la soirée ne va pas forcément de pair avec un comportement purement passif ou une incapacité reconnaissable pour les tiers. De même, encore dans la voiture, elle était en mesure de converser avec les deux autres femmes assises sur la banquette arrière, si bien qu'il est difficile de déterminer si et dans quelle mesure l'inertie qui a immédiatement suivi tenait à de la somnolence</w:t>
      </w:r>
    </w:p>
    <w:p>
      <w:r>
        <w:t>- 22/28 - P/4202/2012 induite par la fatigue, l'heure étant d'ailleurs fort tardive, et/ou à une perte des fonctions due à l'alcool. Or, si on conçoit que la victime d'actes sexuels ne parvienne à se tirer, pendant qu'elle les subit, d'un état de quasi-coma éthylique, tel est plus difficilement le cas d'un sommeil. 3.3.4. D'autres éléments recueillis au cours de l'instruction n'ont pas de portée déterminante ou peuvent être interprétés aussi bien à charge qu'à décharge. Les déclarations de C______ doivent être appréciées avec circonspection, le témoin ayant effectivement acquis la conviction, lors de son audition par la police, que la partie plaignante avait été violée après son départ. Le sms envoyé par l'appelant Y______ à un ami est irrespectueux mais sous-entend la recherche d'une forme de consentement. Le souhait de l'intimée, après les faits, de rester dans l'appartement de l'appelant X______ ou de le regagner, peut être le signe de ce que celle-ci était si désorientée qu'elle n'avait pas conscience du danger ou alors de ce qu'elle n'avait aucune raison de craindre la répétition d'abus qui n'avaient pas eu lieu. 3.3.5. En conclusion, il est certes établi que la partie plaignante était sérieusement alcoolisée lors des faits et somnolente. Toutefois la thèse selon laquelle elle l'était au point d'être incapable de discernement ou de résistance au sens de l'art. 191 CP est seulement plausible, celle, contraire, selon laquelle elle était encore en mesure de comprendre la portée des actes survenus et de les accepter, l'étant tout autant. L'incertitude est d'autant plus permise qu'il n'est pas clair si le MP estime que la victime était incapable de discernement, ce qui serait compatible avec une certaine activité de sa part, ou incapable de résistance parce qu'apathique, ce qui ne le serait pas. Dans le doute, il convient partant de trancher en faveur de la défense et d'acquitter les prévenus, étant précisé que cela ne signifie en aucun cas que la partie plaignante est soupçonnée d'avoir sciemment porté de fausses accusations.</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- 19/28 - P/4202/2012 3.2.1.1.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p. 196 ; arrêt du Tribunal fédéral 6B_10/2014 du 1er mai 2014 consid. 4.1.1).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p. 56 ss ; arrêt du Tribunal fédéral 6B_10/2014 précité).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précité).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6B_10/2014 précité consid. 4.2.1). 3.2.1.2. S'agissant des effets de l'alcool sur la capacité de discernement, il est utile de rappeler que dans un domaine proche, soit celui de la responsabilité pénale, la jurisprudence retient qu'une personne présentant un taux d’alcoolémie dans le sang de 3 gr. o/oo et plus doit être considérée comme totalement irresponsable. Entre 2 et</w:t>
      </w:r>
    </w:p>
    <w:p>
      <w:r>
        <w:rPr>
          <w:b/>
        </w:rPr>
        <w:t>E. 4.1</w:t>
      </w:r>
    </w:p>
    <w:p>
      <w:r>
        <w:t>L'art. 91 al. 1 aLCR punissait d'une peine privative de liberté de trois ans au plus ou une peine pécuniaire en cas d'alcoolémie qualifiée (art. 55, al. 6 aLCR). L'al. 2 de cette dispositions prévoyait la même peine celui qui avait conduit un véhicule automobile alors qu’il se trouvait dans l’incapacité de conduire pour d’autres raisons. La consommation de stupéfiants au sens de l'art. 19a ch. 1 LStup est une contravention.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- 23/28 - P/4202/2012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4.2.2.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4.3</w:t>
      </w:r>
    </w:p>
    <w:p>
      <w:r>
        <w:t>Si les infractions à la LStup commises par les prévenus sont de faible gravité, s'agissant de simples contraventions, tel n'est pas le cas de la conduite automobile sous l'emprise d'un taux d'alcoolémie qualifié ou d'autres substances, vu le danger sérieux pour les usagers de la route. Dans le cas de l'appelant Y______, la faute est alourdie par l'antécédent spécifique, ce qui démontre son absence de prise de conscience encore en août 2013.</w:t>
      </w:r>
    </w:p>
    <w:p>
      <w:r>
        <w:t>- 24/28 - P/4202/2012 Les mobiles de ce type de comportement sont égoïstes, s'agissant de faire passer l'envie de consommer sans pour autant renoncer au volant avant la sécurité d'autrui, soit avant un bien juridique autrement plus important. La situation des deux appelants, très favorable, ne justifie en aucun cas le passage à l'acte, pas plus que leur âge, les jeunes étant aujourd'hui constamment avertis des dangers que présentent de tels agissements. L'appelant Y______ semble avoir progressé sur le chemin de la prise de conscience, au regard de ses déclarations lors des débats d'appels. On ignore ce qu'il en est de l'appelant X______ qui n'a pas évoqué la question des infractions qu'il ne contestait pas, étant précisé qu'on peut comprendre que son énergie était concentrée sur le reproche le plus grave. Au regard de l'ensemble des circonstances, il convient d'infliger à l'appelant Y______ une peine pécuniaire de 90 jours-amende et à l'appelant X______ une peine pécuniaire de 45 jours-amende. La quotité du jour-amende sera arrêtée à CHF 150.- par référence aux revenus et charges de l'appelant X______. Certes, l'appelant Y______ n'a pas de ressources propres, mais sa capacité de gain est comparable à celle de son camarade d'études. La peine pécuniaire sera assortie du sursis, dont les conditions sont réalisées. Le délai d'épreuve sera fixé à deux ans pour le premier, trois pour le second, qui doit subir une plus longue mise à l'épreuve vu les craintes suscitées par l'existence d'un antécédent. L'amende de CHF 200.- pour l'infraction à l'art. 19a LStup sera maintenue, n'ayant été contestée ni dans son principe, ni dans sa quotité.</w:t>
      </w:r>
    </w:p>
    <w:p>
      <w:r>
        <w:rPr>
          <w:b/>
        </w:rPr>
        <w:t>E. 5</w:t>
      </w:r>
    </w:p>
    <w:p>
      <w:r>
        <w:t>Vu l'acquittement prononcé, le jugement doit être annulé également dans la mesure où il alloue une indemnité pour tort moral à la partie plaignante et les conclusions de celle-ci sur appel joint seront rejetées.</w:t>
      </w:r>
    </w:p>
    <w:p>
      <w:r>
        <w:rPr>
          <w:b/>
        </w:rPr>
        <w:t>E. 6.1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Selon l'alinéa 2 de cet article, l'autorité pénale examine d'office les prétentions du prévenu et peut enjoindre à celui-ci de les chiffrer et de les justifier. Le Tribunal fédéral a déduit de l'art. 429 CPP, en particulier de l'intervention d'office de l'autorité</w:t>
      </w:r>
    </w:p>
    <w:p>
      <w:r>
        <w:t>- 25/28 - P/4202/2012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(ACPR/379/2012 du 18 septembre 2012 ; ACPR/282/2013 du 18 juin 2013). Il incombe cependant à l'autorité pénale, à tout le moins, d'interpeller le prévenu sur cette question et, comme le prévoit la loi, de lui enjoindre, au besoin, de chiffrer et justifier ses prétentions en indemnisation (arrêts du Tribunal fédéral 6B_472/2012 du 13 novembre 2012 consid. 2.1 et 6B_661/2013 du 10 juin 2014 consid. 3.1.).</w:t>
      </w:r>
    </w:p>
    <w:p>
      <w:r>
        <w:rPr>
          <w:b/>
        </w:rPr>
        <w:t>E. 6.2</w:t>
      </w:r>
    </w:p>
    <w:p>
      <w:r>
        <w:t>Dûment interpellés, les appelants n'ont pas émis de prétentions et s'en sont rapportés à justice, insistant sur le fait qu'à leurs yeux il importait avant tout que justice soit faite. La question d'une indemnisation pour la détention subie à tort ne se pose en tout état pas, celle-ci venant en déduction de la peine pécuniaire. Resteraient les frais de défense, dans la mesure où ils ne seraient pas pris en charge par l'assistance juridique étant rappelé que l'appelant Y______ a bénéficié d'une défense d'office tout au long de la procédure et l'appelant X______ jusqu'au prononcé du jugement de première instance, ainsi qu'un éventuel autre préjudice économique ou tort moral non liés à la détention. Faute d'allégués et de conclusions chiffrées sur ces dernières questions, il faut retenir que les appelants n'ont pas subi de tels dommages ou en tout cas renoncent à en demander la réparation à l'Etat. Il n'y a donc pas lieu à indemnisation au sens de l'art. 429 CPP.</w:t>
      </w:r>
    </w:p>
    <w:p>
      <w:r>
        <w:rPr>
          <w:b/>
        </w:rPr>
        <w:t>E. 7.1</w:t>
      </w:r>
    </w:p>
    <w:p>
      <w:r>
        <w:t>Vu l'issue de la procédure, seule une part réduite des frais de la procédure de première instance doit être supportée par les prévenus en partie condamnés, conformément à l'art. 427 CPP, soit 10 % chacun.</w:t>
      </w:r>
    </w:p>
    <w:p>
      <w:r>
        <w:rPr>
          <w:b/>
        </w:rPr>
        <w:t>E. 7.2</w:t>
      </w:r>
    </w:p>
    <w:p>
      <w:r>
        <w:t>Les frais de la procédure d'appel resteront à charge de l'Etat.</w:t>
      </w:r>
    </w:p>
    <w:p>
      <w:r>
        <w:rPr>
          <w:b/>
        </w:rPr>
        <w:t>E. 8</w:t>
      </w:r>
    </w:p>
    <w:p>
      <w:r>
        <w:t>Par souci de clarté, le dispositif du jugement de première instance sera entièrement annulé et formulé à nouveau.</w:t>
      </w:r>
    </w:p>
    <w:p>
      <w:r>
        <w:t>- 26/28 - P/4202/2012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