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AARP/436/2016 vom 1. November 2016</w:t>
      </w:r>
    </w:p>
    <w:p>
      <w:r>
        <w:t>GE Cour de justice, 2016-11-01, FR</w:t>
      </w:r>
    </w:p>
    <w:p>
      <w:r>
        <w:rPr>
          <w:b/>
        </w:rPr>
        <w:t xml:space="preserve">Quelle: </w:t>
      </w:r>
      <w:r>
        <w:t>https://mcp.opencaselaw.ch/entscheid/ge_gerichte_AARP_436_2016</w:t>
      </w:r>
    </w:p>
    <w:p>
      <w:r>
        <w:t>FR: GE_GERICHTE AARP/436/2016 du 1 novembre 2016</w:t>
      </w:r>
    </w:p>
    <w:p>
      <w:r>
        <w:t>IT: GE_GERICHTE AARP/436/2016 del 1 novembre 2016</w:t>
      </w:r>
    </w:p>
    <w:p>
      <w:pPr>
        <w:pStyle w:val="Heading2"/>
      </w:pPr>
      <w:r>
        <w:t>Erwägungen</w:t>
      </w:r>
    </w:p>
    <w:p>
      <w:r>
        <w:rPr>
          <w:b/>
        </w:rPr>
        <w:t>E. 1</w:t>
      </w:r>
    </w:p>
    <w:p>
      <w:r>
        <w:t>La demande de révision a été formée par devant l'autorité compétente et selon la forme prévue par la loi (art. 411 al. 1 du Code de procédure pénale suisse du</w:t>
      </w:r>
    </w:p>
    <w:p>
      <w:r>
        <w:rPr>
          <w:b/>
        </w:rPr>
        <w:t>E. 5</w:t>
      </w:r>
    </w:p>
    <w:p>
      <w:r>
        <w:t>octobre 2007 [CPP ; RS 312.0]). Fondée sur l'art. 410 al. 1 let. a CPP, elle n'est soumise à aucun délai (art. 411 al. 2 CPP a contrario et art. 410 al. 3 CPP). 2. 2.1.1. L'art.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Cette disposition reprend la double exigence posée par l'art. 385 CP selon laquelle les faits ou moyens de preuves invoqués doivent être nouveaux et sérieux (Message relatif à l'unification du droit de la procédure pénale (CPP) du 21 décembre 2005, FF 2006 p. 1303 ad art. 417 [actuel art. 410 CPP]). Les faits ou moyens de preuves sont nouveaux lorsque le juge n'en a pas eu connaissance au moment où il s'est prononcé, c'est-à-dire lorsqu'ils ne lui ont pas été soumis sous quelque forme que ce soit (ATF 137 IV 59 consid. 5.1.2 p. 66 s., 130 IV 72 consid. 1 p. 73).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faire apparaître à l'évidence que le juge n'a pas eu connaissance d'un moyen de preuve figurant à la procédure. Dans le doute, on doit supposer qu'il a pris connaissance de toutes les pièces du dossier (ATF 122 IV 66 consid. 2b p. 69 ; arrêt du Tribunal fédéral 6B_731/2013 du 28 novembre 2013 consid. 3.1.2).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130 IV 72 consid. 1 p. 73 ; arrêt 6B_731/2013 précité). Comme cela résulte du texte même de l'art. 410 al. 1 let. a CPP, la voie de la révision a uniquement pour but de réparer les erreurs de fait commises dans un jugement et</w:t>
      </w:r>
    </w:p>
    <w:p>
      <w:r>
        <w:t>- 5/9 - P/4939/2014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3e éd., Zürich 2011, n. 2067 et note 837, n. 2079 et 2089 s.).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n. 2108). L'examen préalable sert avant tout à constater si les motifs invoqués à l'appui de la demande en révision sont vraisemblables (Message, op. cit., FF 2006 p. 1305 ad art. 419 [actuel 412 CPP]).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ou encore lorsque la demande de révision apparaît abusive. Une demande de révision dirigée contre une ordonnance de condamnation doit, en particulier, être considérée comme telle lorsqu'elle repose sur des faits que le condamné connaissait initialement, qu'il n'avait aucune raison légitime de taire et qu'il aurait pu révéler dans une procédure ordinaire mise en œuvre par une simple opposition. L'abus de droit ne doit toutefois être admis qu'avec réserve. Il s'agit, dans chaque cas, d'examiner, au regard des circonstances de l'espèce, si la demande de révision tend à contourner les voies de droit ordinaires (ATF 130 IV 72 consid. 3.2 p. 75 ; arrêts du Tribunal fédéral 6B_1214/2015 du 30 août 2016 consid. 2, 6B_731/2013 du 28 novembre 2013 consid. 3.1.2). 2.2. Le séjour illégal au sens de l'art. 115 al. 1 let. b LEtr est un délit de durée, un délit continu. L'infraction est achevée au moment où le séjour prend fin (ATF 135 IV</w:t>
      </w:r>
    </w:p>
    <w:p>
      <w:r>
        <w:rPr>
          <w:b/>
        </w:rPr>
        <w:t>E. 6</w:t>
      </w:r>
    </w:p>
    <w:p>
      <w:r>
        <w:t>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w:t>
      </w:r>
    </w:p>
    <w:p>
      <w:r>
        <w:t>- 6/9 - P/4939/2014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 2.3.1. En l'espèce, le requérant n'invoque aucun fait ou moyen de preuve nouveau. Il se plaint en réalité d'avoir été sanctionné trop lourdement du fait de son séjour illégal, le cumul des condamnations prononcées à son encontre uniquement du chef de cette infraction excédant la peine-menace d'un an. Or, il lui appartenait de faire valoir ce grief par les voies ordinaires de recours, soit par la voie de l'opposition aux ordonnances pénales du MP qu'il conteste et par celle de l'appel à l'encontre du jugement du Tribunal de police du 8 juillet 2014. Il s'agissait de faits qu'il pouvait d'autant moins ignorer qu'il a déjà exécuté la majeure partie, voire la totalité des peines infligées de ce chef, étant aussi relevé qu'il était pourvu d'un défenseur d'office dans le cadre l'affaire précitée. Ayant omis d'utiliser les voies de droit à sa disposition, voire retiré les oppositions initialement formées contre certaines ordonnances, ces décisions sont passées en force et ne sont plus susceptibles d'être révoquées, le principe de l'autorité de chose jugée s'imposant par un souci de sécurité juridique. La voie de la révision n'est pas ouverte en ce domaine, de sorte qu'il n'est pas nécessaire d'examiner si les dernières décisions prononcées pour infraction à l'art. 115 al. 1 let. b LEtr ont été rendues en violation flagrante de la peine maximale prévue par cette disposition ou si elles résultent d'une appréciation, même erronée, des faits, ayant conduit les autorités qui en sont à l'origine à considérer que la situation irrégulière du requérant procédait d'une nouvelle décision d'agir, indépendante de celle précédemment sanctionnée. Le fait que le casier judiciaire de l'intéressé ne comportait pas encore l'inscription de l'ordonnance pénale rendue le 10___ août 2014 lorsque le MP a prononcé celles des 9___ août et 3 novembre 2014</w:t>
      </w:r>
    </w:p>
    <w:p>
      <w:r>
        <w:t>- 7/9 - P/4939/2014 n'y change rien, ne serait-ce que parce la peine d'un an était déjà dépassée à ce moment-là.</w:t>
      </w:r>
    </w:p>
    <w:p>
      <w:r>
        <w:t>2.3.2. Compte tenu de ce qui précède, la demande de révision est manifestement irrecevable, et sera rejetée comme telle, sans autre instruction, en application de l'art. 412 al. 2 CPP. 3. 3.1. A juste titre dès lors qu'il n'a pas à ce stade le statut de prévenu, mais bien celui de condamné, le requérant ne prétend pas être dans un cas de défense obligatoire, au sens de l'art. 130 CPP. 3.2.1. Aux termes de l'art. 29 al. 3 Cst.,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 3.2.2. Manifestement irrecevable, la demande de révision était d'emblée dépourvue de chances de succès, de sorte que le requérant ne saurait prétendre à l'assistance judiciaire gratuite. Ses conclusions en ce sens seront partant également rejetées. 4. En application de l'art. 428 al. 1 dernière phrase CPP et par renvoi de l'art. 413 al. 1 CPP, la partie dont le recours est irrecevable est considérée comme ayant succombé ; il en va de même en cas de rejet d'une demande de révision (A. KUHN / Y. JEANNERET (éds), Commentaire romand : Code de procédure pénale suisse, Bâle 2011, n. 3 ad art. 413). * * * * *</w:t>
      </w:r>
    </w:p>
    <w:p>
      <w:r>
        <w:t>- 8/9 - P/4939/2014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