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AARP/435/2015 vom 22. Oktober 2015</w:t>
      </w:r>
    </w:p>
    <w:p>
      <w:r>
        <w:t>GE Cour de justice, 2015-10-22, FR</w:t>
      </w:r>
    </w:p>
    <w:p>
      <w:r>
        <w:rPr>
          <w:b/>
        </w:rPr>
        <w:t xml:space="preserve">Quelle: </w:t>
      </w:r>
      <w:r>
        <w:t>https://mcp.opencaselaw.ch/entscheid/ge_gerichte_AARP_435_2015</w:t>
      </w:r>
    </w:p>
    <w:p>
      <w:r>
        <w:t>FR: GE_GERICHTE AARP/435/2015 du 22 octobre 2015</w:t>
      </w:r>
    </w:p>
    <w:p>
      <w:r>
        <w:t>IT: GE_GERICHTE AARP/435/2015 del 22 ottobre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48 let. d CP, le juge atténue la peine si l'auteur a manifesté par des actes un repentir sincère, notamment s'il a réparé le dommage autant qu'on pouvait</w:t>
      </w:r>
    </w:p>
    <w:p>
      <w:r>
        <w:t>- 11/22 - P/1345/2013 l'attendre de lui. Cette circonstance atténuante suppose une prise de conscience du caractère répréhensible de l'infraction et un changement d'état d'esprit sincère du délinquant, qu'une bonne collaboration à l'enquête n'implique pas nécessairement. C'est pourquoi la circonstance atténuante du repentir sincère, d'une part, et la bonne collaboration à l'enquête, d'autre part, sont deux éléments à décharge en principe distincts, qui peuvent du reste entrer en concours (cf., sous l'empire des art. 63 et 64 aCP, ATF 121 IV 202 consid. 2d/cc p. 205/206).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et les références citées). Il ne peut ainsi bénéficier de cette circonstance atténuante que s'il a agi, non sous la pression du procès à venir, ni pour des raisons tactiques, mais mû par un repentir sincère, avec la volonté de réparer le tort causé (arrêt du Tribunal fédéral 6B_291/2007 du 25 janvier 2008 consid. 3.2).</w:t>
      </w:r>
    </w:p>
    <w:p>
      <w:r>
        <w:rPr>
          <w:b/>
        </w:rPr>
        <w:t>E. 2.2</w:t>
      </w:r>
    </w:p>
    <w:p>
      <w:r>
        <w:t>En l'espèce, l'appelante a certes fourni une bonne collaboration à l'enquête, en admettant d'emblée les faits. Avec le premier juge, on doit toutefois admettre que le refus de dédommager l'employeur lésé, dont elle a demandé le rejet des conclusions civiles en première instance, jette assurément de sérieux doutes sur la sincérité de son repentir. C'est donc à bon droit que cette circonstance atténuante n'a pas été prise en considération. Les paiements intervenus suite à la condamnation judiciaire, que l'appelante n'a pas remise en cause sur le plan civil, participent d'une certaine prise de conscience et d'une évolution favorable, dont il sera tenu compte ci-dessous, lors de l'examen du sursis.</w:t>
      </w:r>
    </w:p>
    <w:p>
      <w:r>
        <w:t>3.1.1.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(cf. ATF 135 IV 130 consid. 5.3.1).</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w:t>
      </w:r>
    </w:p>
    <w:p>
      <w:r>
        <w:t>- 12/22 - P/1345/2013 professionnelle, risque de récidive, etc.), la vulnérabilité face à la peine, de même que le comportement après l'acte et au cours de la procédure pénale (ATF 134 IV 17 consid. 2.1 p. 19 s. ; 129 IV 6 consid. 6.1 p. 20 ; arrêt 6B_759/2011 du 19 avril 2012 consid. 1.1).</w:t>
      </w:r>
    </w:p>
    <w:p>
      <w:r>
        <w:t>3.1.2. La peine est aussi atténuée, en application de l'art. 19 al. 2 CP, si, au moment d'agir, l'auteur ne possédait que partiellement la faculté d'apprécier le caractère illicite de son acte ou de se déterminer d'après cette appréciation.</w:t>
      </w:r>
    </w:p>
    <w:p>
      <w:r>
        <w:t>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(ATF 136 IV 55 consid. 5.5 p. 59s ; arrêts du Tribunal fédéral 6B_284/2012 du 29 octobre 2012 consid. 4.1.6, 6B_77/2012 du 18 juin 2012 consid. 1.2.1 et 6B_741/2010 du 9 novembre 2010 consid. 3.1.2).</w:t>
      </w:r>
    </w:p>
    <w:p>
      <w:r>
        <w:t>3.1.3. A teneur de l'art. 49 al. 1 CP, si, en raison d'un ou de plusieurs actes, l'auteur remplit les conditions de plusieurs peines de même genre, le juge le condamne à la peine de l'infraction la plus grave et l'augmente dans une juste proportion.</w:t>
      </w:r>
    </w:p>
    <w:p>
      <w:r>
        <w:t>3.2. En l'espèce, l'appelante s'est rendue coupable d'abus de confiance (art. 138 CP), et de faux dans les titres (art. 251 CP), infractions qui entrent en concours et qui sont toutes deux passibles d'une peine privative de liberté de cinq ans au plus. Elle a détourné des sommes très importantes, se montant à plus de CHF 1.3 million, agissant sur une très longue période, de plus de cinq ans, et de manière sophistiquée, afin de masquer ses opérations. Seule la découverte par son employeur, suite à des absences et à un comportement inhabituel, a permis de stopper cette intense activité délictuelle.</w:t>
      </w:r>
    </w:p>
    <w:p>
      <w:r>
        <w:t>- 13/22 - P/1345/2013</w:t>
      </w:r>
    </w:p>
    <w:p>
      <w:r>
        <w:t>La collaboration à la procédure a été qualifiée à juste titre de bonne. L'appelante est en outre au bénéfice d'une responsabilité moyennement restreinte au moment des faits, ce qui permet de qualifier la faute de moyenne en lieu et place de grave, et a contribué à réparer le préjudice qu'elle a causé.</w:t>
      </w:r>
    </w:p>
    <w:p>
      <w:r>
        <w:t>Compte tenu de l'ensemble de ces éléments, la peine privative de liberté de 15 mois fixée par le premier juge est adéquate et tient compte de l'ensemble des éléments qui précèdent. Elle sera ainsi confirmée, l'appel étant rejeté sur ce point.</w:t>
      </w:r>
    </w:p>
    <w:p>
      <w:r>
        <w:rPr>
          <w:b/>
        </w:rPr>
        <w:t>E. 4</w:t>
      </w:r>
    </w:p>
    <w:p>
      <w:r>
        <w:t>4.1.1. Au sens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t>4.1.2. Selon la jurisprudence, sursis et mesures sont incompatibles (ATF 135 IV 180 consid. 2.3 ; 134 IV 1 consid. 3.1). Si les conditions d'application de l'une ou l'autre des mesures prévues aux art. 56 ss CP sont remplies, le pronostic déterminant pour l'octroi du sursis est nécessairement négatif, puisque le prononcé de ces mesures suppose un risque de récidive (cf. art. 56 al. 1 let. a CP ; arrêt du Tribunal fédéral 6B_268/2008 du 2 mars 2009).</w:t>
      </w:r>
    </w:p>
    <w:p>
      <w:r>
        <w:t>4.1.3.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w:t>
      </w:r>
    </w:p>
    <w:p>
      <w:r>
        <w:t>- 14/22 - P/1345/2013 renonce à commettre de nouvelles infractions (ATF 95 IV 121 consid. 1). La durée doit être déterminée de manière à offrir la plus grande probabilité que le condamné ne récidivera pas (arrêt du Tribunal fédéral 6B_187/2015 du 28 avril 2015 consid. 5.5 ; R. SCHNEIDER / R. GARRÉ, Basler Kommentar Strafrecht I, 3e éd., Bâle 2013, n. 4 ad art. 44).</w:t>
      </w:r>
    </w:p>
    <w:p>
      <w:r>
        <w:t>4.1.4. Pour la durée du délai d'épreuve, le juge peut ordonner une assistance de probation et imposer des règles de conduite (art. 44 al. 2 CP).</w:t>
      </w:r>
    </w:p>
    <w:p>
      <w:r>
        <w:t>Les règles de conduite sont celles énumérées de façon non exhaustive à l'art. 94 CP.</w:t>
      </w:r>
    </w:p>
    <w:p>
      <w:r>
        <w:t>La loi prévoit expressément que la règle de conduite peut porter sur des soins médicaux ou psychiques (cf. art. 94 CP). Il est admis en pratique que la règle de conduite peut obliger le condamné à se soumettre à un traitement psychiatrique ou à des contrôles médicaux réguliers (par exemple des contrôles d'urine). Une règle de conduite ordonnant un suivi médical est donc parfaitement admissible. Elle se différencie d'un traitement ambulatoire selon l'art. 63 CP sur plusieurs points. Elle n'exige notamment pas que le condamné souffre d'un grave trouble mental, soit toxicomane dépendant ou souffre d'une autre addiction ; il ne peut être affecté de l'un de ces troubles qu'à un faible degré. En outre, en cas d'échec, la règle de conduite ne peut pas être convertie en une mesure thérapeutique institutionnelle (conformément à l'art. 63b al. 5 CP ; arrêt du Tribunal fédéral 6B_626/2008 du 11 novembre 2008 consid. 6.1).</w:t>
      </w:r>
    </w:p>
    <w:p>
      <w:r>
        <w:rPr>
          <w:b/>
        </w:rPr>
        <w:t>E. 4.2</w:t>
      </w:r>
    </w:p>
    <w:p>
      <w:r>
        <w:t>L'expert a en l'occurrence qualifié le risque de récidive d'élevé et préconisé le prononcé d'un traitement ambulatoire, ce qui exclut en principe l'octroi du sursis.</w:t>
      </w:r>
    </w:p>
    <w:p>
      <w:r>
        <w:t>Il ressort toutefois des explications fournies au Ministère public, que par récidive, le docteur J______ entendait tout particulièrement le risque général pour l'appelante de retomber dans un comportement addictif, étant rappelé qu'elle avait, selon la doctoresse L______, exprimé précédemment sa personnalité addictive dans les domaines du sport, du tabac ou de la nourriture. Or, de tels comportements ne sont pas associés à des agissements criminels, contrairement au jeu pathologique.</w:t>
      </w:r>
    </w:p>
    <w:p>
      <w:r>
        <w:t>Dans l'examen du pronostic, il faut aussi tenir compte de l'âge de l'appelante, qui a mené une vie sans tache, jusqu'aux événements à l'origine de cette procédure. Retraitée, elle n'exercera plus d'activité professionnelle. Le risque qu'elle détourne des fonds au préjudice d'un nouvel employeur est ainsi concrètement inexistant.</w:t>
      </w:r>
    </w:p>
    <w:p>
      <w:r>
        <w:t>L'appelante bénéficie en outre du soutien de sa famille et de ses amis et les faits à l'origine de la présente affaire, bien que très graves, semblent constituer, pour une femme âgée de 65 ans sans antécédents, intégrée dans la société et ne présentant aucun trait antisocial, davantage un épisode isolé. Elle est suivie par une psychiatre,</w:t>
      </w:r>
    </w:p>
    <w:p>
      <w:r>
        <w:t>- 15/22 - P/1345/2013 qu'elle consulte régulièrement et avec laquelle elle a pu nouer un lien thérapeutique, ce qui est de bon augure pour consolider les résultats. Enfin, au stade de l'appel, A______ ne remet plus en cause sa responsabilité civile, ce qui atteste également d'une évolution positive dans la prise de conscience.</w:t>
      </w:r>
    </w:p>
    <w:p>
      <w:r>
        <w:t>Pour ces motifs, bien qu'en restant incertain, le pronostic n'est pas concrètement défavorable. Il convient partant de mettre l'appelante au bénéfice du sursis, pour le prononcé duquel le risque de récidive n'a pas à être inexistant, dans la mesure où il peut encore être atténué par la mise en place de règles de conduite et d'une assistance de probation durant le délai d'épreuve. Même si la CPAR n'est pas persuadée que le prononcé d'un traitement ambulatoire au sens de l'art. 63 CP, contrairement aux mesures institutionnelles, est systématiquement incompatible avec la mesure du sursis, la question peut être laissée ouverte en l'espèce, dès lors qu'en tout état de cause, du point de vue légal, un tel traitement n'est en l'occurrence pas nécessaire, vu le risque de récidive contenu.</w:t>
      </w:r>
    </w:p>
    <w:p>
      <w:r>
        <w:t>L'appelante doit cependant être aidée à éradiquer la problématique addictive, même si inactive selon le docteur M______. Aussi, un suivi psychothérapeutique, visant tout particulièrement à traiter le trouble addictif au jeu, et les causes de cette addiction, sera ordonné, sous forme de règle de conduite, durant le délai d'épreuve du sursis. Ce traitement pourra être poursuivi auprès de la doctoresse L______ et la fréquence des entretiens sera laissée à l'appréciation de la thérapeute, laquelle sera toutefois tenue de traiter la problématique de l'addiction, en sus de celle de la dépression.</w:t>
      </w:r>
    </w:p>
    <w:p>
      <w:r>
        <w:t>Le délai d'épreuve sera fixé à trois ans, durée qui apparaît justifiée et suffisante, au vu du faible risque de récidive.</w:t>
      </w:r>
    </w:p>
    <w:p>
      <w:r>
        <w:t>Une assistance de probation sera instituée, obligation étant faite au thérapeute d'adresser tous les trois mois au Service de probation et d'insertion (SPI) un rapport relatif au suivi et à l'évolution de l'appelante sur les plans personnel et psychiatrique.</w:t>
      </w:r>
    </w:p>
    <w:p>
      <w:r>
        <w:rPr>
          <w:b/>
        </w:rPr>
        <w:t>E. 5</w:t>
      </w:r>
    </w:p>
    <w:p>
      <w:r>
        <w:t>5.1.1.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w:t>
      </w:r>
    </w:p>
    <w:p>
      <w:r>
        <w:t>- 16/22 - P/1345/2013 2013 consid. 4 et 6B_638/2012 du 10 décembre 2012 consid. 3.7) – l'équivalent de la TVA est versé en sus.</w:t>
      </w:r>
    </w:p>
    <w:p>
      <w:r>
        <w:t>5.1.2.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5.1.3.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w:t>
      </w:r>
    </w:p>
    <w:p>
      <w:r>
        <w:t>A l'instar de la jurisprudence précitée, l'art 16. al. 2 RAJ prescrit également que seules les heures nécessaires à la défense devant les juridictions cantonales sont retenues et sont appréciées en fonction notamment de la nature, de l'importance et</w:t>
      </w:r>
    </w:p>
    <w:p>
      <w:r>
        <w:t>- 17/22 - P/1345/2013 des difficultés de la cause, de la valeur litigieuse, de la qualité du travail fourni et du résultat obtenu. 5.1.4.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t>5.1.5. L'avocat d'office a droit au remboursement intégral de ses débours (arrêt du Tribunal fédéral 6B_810/2010 du 25 mai 2011 consid. 2 et les références citées). Ceux de l'étude sont inclus dans les tarifs horaires prévus par l'art. 16 al. 1 RAJ</w:t>
      </w:r>
    </w:p>
    <w:p>
      <w:r>
        <w:t>- 18/22 - P/1345/2013 (décision de la Cour des plaintes du Tribunal pénal fédéral BB.2013.127 du 4 décembre 2013 consid. 3/4.2-4.4).</w:t>
      </w:r>
    </w:p>
    <w:p>
      <w:r>
        <w:t>5.1.6. Selon l'art. 17 RAJ, l'état de frais doit détailler, par rubriques, les activités donnant lieu à indemnisation, avec indication du temps consacré, et les justificatifs doivent être joints.</w:t>
      </w:r>
    </w:p>
    <w:p>
      <w:r>
        <w:t>5.2.1. En tant qu'il se plaint, sur recours, de la taxation de ses honoraires par le premier juge, il sera relevé que, dans son état de frais du 5 décembre 2014, Me B______ avait réclamé une indemnité de CHF 24'012.- (forfait pour l'activité diverse à 20% inclus), au titre de la défense d'office.</w:t>
      </w:r>
    </w:p>
    <w:p>
      <w:r>
        <w:t>Le tribunal de première instance a arrêté cette indemnité à CHF 21'306.78, admettant 39h30 d'activité de chef d'étude à CHF 200.- (CHF 7'900.-), 79h30 pour celle de collaborateur à CHF 125.- (CHF 9'937.50) et 1h30 pour celle du stagiaire à CHF 65.- (CHF 97.50), soit un total de CHF 17'935.-, auxquels il a ajouté CHF 1'793.50 de forfait pour l'activité diverse (10%) et CHF 1'578.28 de TVA à 8%. Il a, dans son calcul, retranché 2h00 du poste "lectures pv, etc.", considérant qu'il s'agissait de prestations comprises dans le forfait pour l'activité diverse, 5h30 consacrées à la rédaction du mémoire-réponse aux conclusions civiles et 3h15 en relation avec la durée des audiences.</w:t>
      </w:r>
    </w:p>
    <w:p>
      <w:r>
        <w:t>Au stade de l'appel, Me B______ conclut au paiement d'une indemnité de défenseur d'office de CHF 23'006.78, inférieure à celle réclamée en première instance, sans fournir de calcul précis.</w:t>
      </w:r>
    </w:p>
    <w:p>
      <w:r>
        <w:t>Saisie d'un recours sur le montant de la taxation fixée en première instance, la CPAR n'examine que les points de la décision qui sont attaqués (cf. art. 385 al. 1 CPP).</w:t>
      </w:r>
    </w:p>
    <w:p>
      <w:r>
        <w:t>En l'occurrence, il ressort de l'acte de recours que le seul grief soulevé et étayé par le défenseur d'office a trait à la réduction opérée par le premier juge en relation avec la rédaction d'un mémoire-réponse en date des 1er et 2 décembre 2014, ayant nécessité selon l'état de frais du 5 décembre 2014, 5h30 d'activité de chef d'étude (et non pas 8h30), soit 3h00 le 1er décembre et 2h30 le 2 décembre 2014.</w:t>
      </w:r>
    </w:p>
    <w:p>
      <w:r>
        <w:t>Avec le Tribunal de police, il convient de retenir que la procédure de première instance est orale et qu'il n'y a pas lieu d'accompagner les plaidoiries d'écritures. Si le CPP prévoit effectivement que la partie plaignante peut motiver "brièvement" ses conclusions par écrit (art. 123 al. 1 CPP dans la version allemande), rien de tel n'est prévu pour le prévenu, qui s'exprimera à cet égard lors des débats (art. 124 al. 2 CPP). Le dépôt d'un mémoire écrit en réponse aux conclusions civiles déposées par la partie plaignante n'était en l'occurrence pas nécessaire à la bonne conduite de la procédure et représente une démarche superflue que l'Etat n'a pas à indemniser. Cette</w:t>
      </w:r>
    </w:p>
    <w:p>
      <w:r>
        <w:t>- 19/22 - P/1345/2013 solution est d'autant plus fondée que la prévenue avait admis les faits et le montant du préjudice causé à la partie plaignante et qu'elle se bornait à contester sa part de responsabilité, compte tenu d'une éventuelle faute concomitante de la partie lésée. Aussi, la complexité de la situation n'était pas telle qu'elle rendait le dépôt d'une écriture indispensable.</w:t>
      </w:r>
    </w:p>
    <w:p>
      <w:r>
        <w:t>La décision d'indemnisation du premier juge doit ainsi être confirmée et le recours de Me B______ rejeté.</w:t>
      </w:r>
    </w:p>
    <w:p>
      <w:r>
        <w:t>5.2.2. Pour la procédure d'appel, le défenseur d'office a facturé 37h45 d'activité de chef d'étude, dont 19h00 pour l'étude du dossier et les recherches juridiques et 10h00 pour la préparation de l'audience, ainsi que 30 minutes de vacation au greffe de la Cour.</w:t>
      </w:r>
    </w:p>
    <w:p>
      <w:r>
        <w:t>En l'occurrence, les 29h00 consacrées aux recherches juridiques et à l'étude du dossier, d'une part, et à la préparation de l'audience d'appel, d'autre part, sont excessives, le dossier étant le même qu'en première instance et l'appel ne portant que sur la peine et la mesure, ce qui n'exige pas de recherches approfondies de la part d'un chef d'étude expérimenté. Seules 15 heures seront admises pour ces deux postes (réduction de 14h00). Quant à la vacation par un chef d'étude en vue de déposer une écriture (0h30), elle n'a pas à être indemnisée au titre de la défense d'office, cette démarche pouvant être accomplie en déposant le pli à la poste, en même temps que le courrier de l'étude, et est en tout état comprise dans le forfait pour l'activité diverse. Pour le surplus, la note d'honoraires de Me B______ est adéquate et conforme aux principes qui précèdent.</w:t>
      </w:r>
    </w:p>
    <w:p>
      <w:r>
        <w:t>Sur un total de 37h45, la CPAR en admettra 23h15 (réduction de 14h30), correspondant à CHF 4'650.-, soit CHF 5'524.20 (forfait de 10% et TVA inclus).</w:t>
      </w:r>
    </w:p>
    <w:p>
      <w:r>
        <w:rPr>
          <w:b/>
        </w:rPr>
        <w:t>E. 6</w:t>
      </w:r>
    </w:p>
    <w:p>
      <w:r>
        <w:t>L'appel ayant été admis pour l'essentiel, l'appelante sera condamnée au quart des frais de la procédure, comprenant un émolument de CHF 2'000.-, le solde étant laissé à la charge de l'Etat. * * * * *</w:t>
      </w:r>
    </w:p>
    <w:p>
      <w:r>
        <w:t>- 20/22 - P/1345/2013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