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AARP/434/2024 vom 6. Dezember 2024</w:t>
      </w:r>
    </w:p>
    <w:p>
      <w:r>
        <w:t>GE Cour de justice, 2024-12-06, FR</w:t>
      </w:r>
    </w:p>
    <w:p>
      <w:r>
        <w:rPr>
          <w:b/>
        </w:rPr>
        <w:t xml:space="preserve">Quelle: </w:t>
      </w:r>
      <w:r>
        <w:t>https://mcp.opencaselaw.ch/entscheid/ge_gerichte_AARP_434_2024</w:t>
      </w:r>
    </w:p>
    <w:p>
      <w:r>
        <w:t>FR: GE_GERICHTE AARP/434/2024 du 6 décembre 2024</w:t>
      </w:r>
    </w:p>
    <w:p>
      <w:r>
        <w:t>IT: GE_GERICHTE AARP/434/2024 del 6 dicembre 2024</w:t>
      </w:r>
    </w:p>
    <w:p>
      <w:pPr>
        <w:pStyle w:val="Heading2"/>
      </w:pPr>
      <w:r>
        <w:t>Erwägungen</w:t>
      </w:r>
    </w:p>
    <w:p>
      <w:r>
        <w:rPr>
          <w:b/>
        </w:rPr>
        <w:t>E. 1</w:t>
      </w:r>
    </w:p>
    <w:p>
      <w:r>
        <w:t>La CPAR est l'autorité compétente en matière de révision (art. 21 al. 1 let. b CPP cum art. 130 al. 1 let. a de la Loi d'organisation judiciaire [LOJ]).</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w:t>
      </w:r>
    </w:p>
    <w:p>
      <w:r>
        <w:t>La procédure de révision cantonale prime un éventuel recours en matière pénale pendant par-devant le Tribunal fédéral (ATF 144 IV 23 consid. 2.3.2).</w:t>
      </w:r>
    </w:p>
    <w:p>
      <w:r>
        <w:t>- 3/5 - P/27532/2024</w:t>
      </w:r>
    </w:p>
    <w:p>
      <w:r>
        <w:rPr>
          <w:b/>
        </w:rPr>
        <w:t>E. 2.2</w:t>
      </w:r>
    </w:p>
    <w:p>
      <w:r>
        <w:t>La demande en révision en raison de faits ou de moyens de preuve nouveaux n'est soumise à aucun délai (art. 411 al. 2 in fine CPP).</w:t>
      </w:r>
    </w:p>
    <w:p>
      <w:r>
        <w:rPr>
          <w:b/>
        </w:rPr>
        <w:t>E. 2.3</w:t>
      </w:r>
    </w:p>
    <w:p>
      <w:r>
        <w:t>À teneur de l'art. 412 CPP, la juridiction d'appel examine préalablement la demande de révision en procédure écrite (al. 1). Elle n'entre pas en matière si la demande est manifestement irrecevable ou non motivée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2.4.1. En l'espèce, la demanderesse n'invoque à l'appui de sa demande aucun fait nouveau inconnu de l'autorité inférieure lorsqu'elle a statué et susceptible d'être pris en considération dans l'état de fait qui fonde le jugement. On comprend de son écriture qu'elle conteste la légalité des ordonnances pénales rendues par le SDC et, par là-même, celle de la détention qu'elle a subie suite à la conversion des amendes en une peine privative de liberté. Or, au-delà du fait que les ordonnances pénales querellées ne sont pas nulles (ATF 148 IV 445 consid. 1.4.2), ces griefs, en tant que tels, n'entrent pas dans le champ des motifs ouvrant la voie de la révision, qui sont régis exhaustivement par le CPP (L. JACQUEMOUD-ROSSARI, Commentaire Romand, 2ème éd., Bâle 2019, n. 19 ad art. 410 CPP), en particulier pas celui de l'art. 410 al. 1 let. a CPP invoqué par la demanderesse. Sa demande de révision étant manifestement irrecevable, la CPAR n'entrera pas en matière sur celle-ci.</w:t>
      </w:r>
    </w:p>
    <w:p>
      <w:r>
        <w:rPr>
          <w:b/>
        </w:rPr>
        <w:t>E. 3</w:t>
      </w:r>
    </w:p>
    <w:p>
      <w:r>
        <w:t>La demanderesse, qui succombe, supportera les frais de la procédure envers l'État (art. 428 al. 1 CPP), y compris un émolument d'arrêt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