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AARP/433/2012 vom 10. Dezember 2012</w:t>
      </w:r>
    </w:p>
    <w:p>
      <w:r>
        <w:t>GE Cour de justice, 2012-12-10, FR</w:t>
      </w:r>
    </w:p>
    <w:p>
      <w:r>
        <w:rPr>
          <w:b/>
        </w:rPr>
        <w:t xml:space="preserve">Quelle: </w:t>
      </w:r>
      <w:r>
        <w:t>https://mcp.opencaselaw.ch/entscheid/ge_gerichte_AARP_433_2012</w:t>
      </w:r>
    </w:p>
    <w:p>
      <w:r>
        <w:t>FR: GE_GERICHTE AARP/433/2012 du 10 décembre 2012</w:t>
      </w:r>
    </w:p>
    <w:p>
      <w:r>
        <w:t>IT: GE_GERICHTE AARP/433/2012 del 10 dicembre 2012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w:t>
      </w:r>
    </w:p>
    <w:p>
      <w:r>
        <w:t>- 11/21 -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w:t>
      </w:r>
    </w:p>
    <w:p>
      <w:r>
        <w:t>- 12/21 -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w:t>
      </w:r>
    </w:p>
    <w:p>
      <w:r>
        <w:t>à 20 ans de peine privative de liberté), la réalisation de ce crime suppose une grande probabilité de lésion de l'intégrité corporelle et partant un danger imminent (ATF 123</w:t>
      </w:r>
    </w:p>
    <w:p>
      <w:r>
        <w:t>- 13/21 - IV 128 consid. 2a). Sur le plan théorique toutefois, la ratio legis du délit d'exposition et les travaux préparatoires conduisent à penser que la répression de la mise en danger a été conçue dans une perspective plutôt restreinte (HURTADO POZO, op. cit., n. 629 ad art. 127). L'infraction est intentionnelle, le dol éventuel suffi (B. CORBOZ, op. cit., n. 15 ad art. 127).</w:t>
      </w:r>
    </w:p>
    <w:p>
      <w:r>
        <w:rPr>
          <w:b/>
        </w:rPr>
        <w:t>E. 3.1</w:t>
      </w:r>
    </w:p>
    <w:p>
      <w:r>
        <w:t>Selon la doctrine, la victime de l'infraction réprimée par l'art. 127 CP ne peut être qu'une personne qui n’est pas en situation d'écarter elle-même le danger qui la menace et qui a besoin de l'aide d'autrui. On songe par exemple à un petit enfant (…) (B. CORBOZ, Les infractions en droit suisse, vol. I, Berne 2010, n. 1 ad art. 127 CP et les références cités ; HURTADO POZO, Droit pénal, partie spéciale I, 2009, n. 638 ad art. 127). L'auteur doit en outre avoir la garde de la personne hors d'état de se protéger elle-même ou le devoir de veiller sur elle (B. CORBOZ, op. cit., n. 2 ad art. 127 CP). Dans les deux cas, il doit avoir une position de garant face aux biens juridiques protégés (B. CORBOZ, op. cit., n. 7 ad art. 127 CP). Le devoir de veiller sur la personne peut résulter de la loi ou d'un contrat. On songe notamment au devoir légal des parents de veiller sur leurs enfants (…) (B. CORBOZ, op. cit., n. 5 et 6 ad art. 127 CP). L'article 127 CP exige expressément que la victime ait été exposée à un danger, le danger en question doit être concret (HURTADO POZO, op. cit., n. 627 et 629 ad art. 127). L'auteur expose la personne au danger lorsqu'il l'emmène dans un endroit où elle court un tel risque, ou encore lorsqu'il crée lui-même un tel danger là où la personne se trouve (B. CORBOZ, op. cit., n. 12 ad art. 127 CP et les références de doctrine citées). C'est le comportement adopté par l'auteur qui crée la mise en danger et aucune lésion n'est nécessaire (ATF 124 IV 53 ; arrêt du Tribunal fédéral du 25 février 2002 6S_729/2001 consid. 1b et du 12 octobre 2005 6S_287/2005 consid. 2.1).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121 IV 67 consid. 2b/aa). Dans un arrêt du 24 juin 2000, le Tribunal fédéral parle d'une mise en danger potentielle de la vie de la victime (arrêt 6S_167/2000 consid. 1c). La probabilité de la lésion et partant le danger concret peuvent être plus ou moins grands, respectivement imminents. C'est la peine prévue par la loi qui détermine les exigences quant à l'imminence du danger (ATF 121 IV 74 consi. 2d). Le Tribunal fédéral retient par exemple que compte tenu de l'importance de la peine prévue par l'art. 221 al. 2 CP (de</w:t>
      </w:r>
    </w:p>
    <w:p>
      <w:r>
        <w:rPr>
          <w:b/>
        </w:rPr>
        <w:t>E. 3.2</w:t>
      </w:r>
    </w:p>
    <w:p>
      <w:r>
        <w:t>Les parties appelantes s'évertuent à minimiser le danger subi par leur enfant, en s'appuyant sur l'existence de risques avant tout théoriques et sur l'évolution favorable de l'état de santé de l'enfant. C'est oublier des faits qui permettent de conclure à une mise en danger concrète de l'enfant. Ainsi en est-il du contact du bébé avec l'eau froide de la cuvette des W-C, son hypoglycémie constatée, accentuée par le contact direct avec le carrelage de la salle de bains ou le tapis de sol de la voiture, dont l'utilisation du sac-poubelle ne l'a pas protégée, alors même que des linges éponges étaient à portée de main. La mise en danger résulte aussi du temps qui s'est écoulé depuis l'accouchement, la prise d'une douche prenant le pas sur les intérêts vitaux du nouveau-né sans provoquer quelque réaction de l'appelant qui attendait passivement dans la voiture. La manière dont l'appelante a transporté son bébé, dans un sac-poubelle qu'elle tenait par le haut et ne laissant filtrer qu'un minimum d'air, le défaut de soins immédiats qui ont eu pour effet de laisser sur le visage du nouveau-né du sang coagulé formant une couche non transparente, telle une toile d'araignée, son visage cyanosé ainsi que son hypoglycémie constituent autant de facteurs susceptibles d'entraîner un risque d'issue fatale, notamment par dépression respiratoire. La sage-femme de service et le médecin pédiatre ont procédé à une réanimation d'urgence, en posant un masque à oxygène. C'est le transfert du bébé dans le service de néonatologie qui avait permis d'éviter un risque vital selon les propos de la médecin cheffe de clinique. L'imminence du danger est réalisée dans le cas d'espèce, au regard des avis médicaux dispensés par les divers intervenants. Même relativement théorique, le danger de mort était bien présent aux yeux du médecin-adjoint de l'Unité du Développement des HUG, quel que soit le délai de la survenance du décès. Dans le même sens, l'enfant n'aurait pas survécu plus d'une demi-heure s'il était resté dans l'état où il a été amené aux HUG, quoique la résistance de l'enfant pût modifier à la hausse ou à la baisse cette échéance. L'approche restrictive prônée par la doctrine n'autorise pas une autre conclusion, si on prend appui sur le concept de mise en danger potentielle de la victime et le ratio de la peine décrits par la jurisprudence. Celle-ci n'exige pas un pourcentage tel que les circonstances du cas d'espèce ne respecteraient pas. Qu'il n'y ait pas eu de lésions cérébrales consécutives à l'hypoglycémie du bébé n'est pas de nature à modifier cette</w:t>
      </w:r>
    </w:p>
    <w:p>
      <w:r>
        <w:t>- 14/21 - appréciation, dès lors qu'aucune lésion n'est nécessaire à la reconnaissance du délit de mise en danger concret. La position de garants des deux appelants n'est pas remise en question. Elle est évidente, au regard de leur parentalité. Chacun à sa façon a accepté la réalisation des conditions matérielles de l'infraction qui leur est reprochée. En accouchant sans rien révéler de sa grossesse, dans les conditions d'hygiène décrites, et en exprimant son refus de l'enfant à son arrivée à la maternité, l'appelante a démontré son acceptation du risque d'une issue fatale. Ce risque a été d'autant plus accepté qu'elle n'a rien fait pour accélérer l'accès aux soins du nouveau-né, en s'accordant une pause pour une douche ou en manifestant son envie de l'abandonner en passant par la campagne. L'appelant n'est pas en reste. En participant au déni de la grossesse de l'appelante, il l'a confortée dans ses choix, allant jusqu'à affirmer à la police ignorer jusqu'à la réalité d'un accouchement à domicile malgré l'aide apportée et les cris du bébé. Bien plus, son défaut de réaction face à la perte des eaux de son ex-femme, sa soumission béate aux injonctions de l'appelante, fussent-elles dangereuses pour la vie du nouveau-né, sa passivité à attendre dans sa voiture près d'une demi-heure dans une situation d'urgence, constituent autant d'actes qui font de lui un coauteur des actes constitutifs d'exposition. Son refus d'aller en campagne ne suffit pas à lui seul à modifier cette appréciation. La culpabilité des deux appelants est donc confirmée, sans qu'il n'y ait place pour un doute profond devant leur profiter.</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4.1.2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w:t>
      </w:r>
    </w:p>
    <w:p>
      <w:r>
        <w:t>- 15/21 -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w:t>
      </w:r>
    </w:p>
    <w:p>
      <w:r>
        <w:rPr>
          <w:b/>
        </w:rPr>
        <w:t>E. 4.3</w:t>
      </w:r>
    </w:p>
    <w:p>
      <w:r>
        <w:t>La faute des appelants est lourde, s'agissant de risques vitaux qui ont été pris pour un enfant sans aucune défense et particulièrement vulnérable dans ses premières heures de vie. Les motifs de leur comportement sont difficilement compréhensibles, à tel point que l'appelante elle-même le qualifie d'erreur monstrueuse sans le comprendre. Sa faute est prépondérante, car elle était bien placée, au regard de sa formation, pour connaître les besoins vitaux d'un nouveau-né et les risques d'une issue fatale en cas de choix inadéquats, nonobstant sa fragilité découlant de son état puerpéral. A sa décharge, elle a réalisé un cheminement personnel qui l'a conduite à une introspection courageuse, où la prise en considération de sa faute et les regrets ont pris une place de plus en plus forte. Son acceptation d'un suivi psychothérapeutique est encourageante de même que sa décision d'affronter ses juges, contrairement à l'appelant qui s'est réfugié dans la fuite et le silence. Le défaut de prise de conscience par l'appelant de la gravité de ses actes, sa collaboration très moyenne voire médiocre dont témoigne son refus initial d'admettre la réalité d'un accouchement, son obstination à ne pas assumer ses erreurs en laissant entendre que la soumission aux ordres de l'appelante lui valait certificat de bonne conduite, ceux-ci fussent-ils sources de danger immédiat pour la vie de l'enfant, constituent autant d'indices d'un comportement lourdement fautif. La seule chose qui puisse être mise à son actif consiste en le fait d'avoir tenu tête à l'appelante en prenant le chemin le plus court pour rejoindre la maternité. Les appelants peuvent se prévaloir d'une responsabilité fortement restreinte, à la suite de troubles dans leur santé mentale dont les caractéristiques sont similaires. La lourdeur de leur faute en est d'autant affectée, dès lors que les troubles diminuant leur</w:t>
      </w:r>
    </w:p>
    <w:p>
      <w:r>
        <w:t>- 18/21 - responsabilité ont eu un impact décisif sur leurs actes propres à susciter un danger immédiat pour la vie du nouveau-né. A leur décharge encore, tout deux sont des délinquants primaires et sans aucune inscription au casier judiciaire.</w:t>
      </w:r>
    </w:p>
    <w:p>
      <w:r>
        <w:rPr>
          <w:b/>
        </w:rPr>
        <w:t>E. 4.4</w:t>
      </w:r>
    </w:p>
    <w:p>
      <w:r>
        <w:t>Il n'est pas contesté que l'appelante a durement subi les retombées médiatiques des actes pour lesquels sa culpabilité a été reconnue, au point qu'elle avait souhaité le huis-clos pour les débats d'appel. Il ne s'agit en tout état que d'une atteinte indirecte des conséquences de ses actes, qu'il convient de relativiser, au regard de l'importance de la faute qui a déjà été soulignée. L'appelante n'a au surplus pas été atteinte dans sa santé psychique à la suite des événements du 8 mai 2008, les troubles dont elle souffre à dires d'expert étant antérieurs à cette date. Elle est certes légalement séparée de ses enfants, quoiqu'elle s'en occupe de facto durant la journée et jusqu'au moment du coucher. Même avec le large pouvoir d'appréciation de la Cour de céans, il n'y a pas de place pour une exemption de peine, étant précisé qu'il peut être tenu compte dans le choix de la sanction des facteurs spécifiques à l'appelante qui militent en faveur d'une sanction appropriée.</w:t>
      </w:r>
    </w:p>
    <w:p>
      <w:r>
        <w:rPr>
          <w:b/>
        </w:rPr>
        <w:t>E. 4.5</w:t>
      </w:r>
    </w:p>
    <w:p>
      <w:r>
        <w:t>La peine privative de liberté infligée aux appelants, certes avec sursis, ne correspond qu'imparfaitement aux critères définis par le Code pénal et la jurisprudence y relative. Si la quotité de la peine ne prête pas le flanc à la critique, encore que la Cour de céans ne saurait en tout état la revoir à la hausse faute d'appel du Ministère public, le choix de la sanction mérite une nouvelle évaluation compte tenu de la fourchette des peines dans laquelle elle s'inscrit. Pour l'appelante, la peine pécuniaire représente une sanction adaptée. Elle peut lui être accordée, nonobstant l'absence de conclusions en ce sens, dès lors que la peine pécuniaire lui est plus favorable et que ses conclusions tendaient à une exemption de toute peine. Au regard de la prise de conscience de l'appelante et de son engagement psychothérapeutique qu'elle entend maintenir, l'effet préventif d'une peine pécuniaire apparaît suffisant, s'agissant de faire le choix de la sanction la moins attentatoire à sa liberté personnelle. Le même raisonnement ne saurait être suivi pour l'appelant qui s'est désintéressé de la procédure au point de faire défaut aux débats, en première instance et en appel. Aucun travail d'introspection n'a été rapporté et, sur le vu de ses déclarations à l'instruction, l'appelant ne semble pas avoir été frappé d'une prise de conscience reconnaissable de la gravité de ses actes. La peine privative de liberté, avec son caractère d'exemplarité, s'impose en conséquence, de sorte que le genre de peine fixé par les premiers juges et sa quotité seront confirmés. Le sursis accordé n'est pas remis en cause en appel ni les mesures qui l'accompagnent, de sorte que les effets accessoires des sanctions prononcées seront confirmés.</w:t>
      </w:r>
    </w:p>
    <w:p>
      <w:r>
        <w:t>- 19/21 -</w:t>
      </w:r>
    </w:p>
    <w:p>
      <w:r>
        <w:rPr>
          <w:b/>
        </w:rPr>
        <w:t>E. 4.5.1</w:t>
      </w:r>
    </w:p>
    <w:p>
      <w:r>
        <w:t>Une peine pécuniaire de 240 jours-amende, correspondant à la quotité de la peine infligée en première instance, est adéquate, en ce sens qu'elle correspond aux critères définis par l'art. 47 CP, la Cour de céans se référant pour éviter des redites aux éléments déjà développés au sujet de la faute de l'appelante (cf. ch. 4.3 supra).</w:t>
      </w:r>
    </w:p>
    <w:p>
      <w:r>
        <w:rPr>
          <w:b/>
        </w:rPr>
        <w:t>E. 4.5.2</w:t>
      </w:r>
    </w:p>
    <w:p>
      <w:r>
        <w:t>L'appelante dispose d'un revenu qu'elle a chiffré à environ CHF 3'000.– par mois, s'agissant d'un emploi récent. Ses charges sont constituées de son loyer en CHF 1'000.– et des primes d'assurance-maladie, de l'ordre de CHF 400.– à Genève en moyenne. Sa capacité contributive est donc limitée, même sans avoir la charge de ses enfants qui sont actuellement placés dans une famille d'accueil et chez ses parents. Son disponible a pour effet que le jour-amende ne saurait dépasser CHF 30.– l'unité. Le jugement du Tribunal correctionnel sera ainsi modifié en ce sens que la peine prononcée est annulée et remplacée par une peine pécuniaire de 240 jours-amende, à CHF 30.– l'unité. 5. L'appelante succombe pour l'essentiel, la modification de sa peine résultant de la seule application de principes posés par la loi et la jurisprudence, étant précisé qu'elle n'avait pas pris de conclusions expresses en ce sens. L'appelant succombe entièrement. Il s'ensuit que les frais de la procédure d'appel sont à la charge des appelants (art. 428 CPP), à raison de la moitié chacun, lesquels comprennent un émolument de CHF 2'500.– (art. 14 al. 1 let. e du règlement fixant le tarif des frais en matière pénale [RTFMP ; E 4 10.03]). * * * * *</w:t>
      </w:r>
    </w:p>
    <w:p>
      <w:r>
        <w:t>- 20/21 -</w:t>
      </w:r>
    </w:p>
    <w:p>
      <w:r>
        <w:rPr>
          <w:b/>
        </w:rPr>
        <w:t>E. 9</w:t>
      </w:r>
    </w:p>
    <w:p>
      <w:r>
        <w:t>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 (arrêts du Tribunal fédéral 6B_741/2010 du 9 novembre 2010 consid. 3.1.2 et 6B_1092/2009 du 22 juin 2010 consid. 2.2.2). 4.1.3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w:t>
      </w:r>
    </w:p>
    <w:p>
      <w:r>
        <w:t>- 16/21 -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interprétée extensivement (ATF 119 IV 280 consid. 1b p. 283 ; arrêt du Tribunal fédéral 6B_587/2008 du 26 décembre 2008 consid. 1.2.). 4.2.1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4.2.2 Pour les peines de six mois à une année, la loi prévoit une peine privative de liberté ou une peine pécuniaire (art. 34 al. 1 et 40 1ère phrase CP).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w:t>
      </w:r>
    </w:p>
    <w:p>
      <w:r>
        <w:t>- 17/21 - de liberté", in A. KUHN / L. MOREILLON / B. VIREDAZ / A. BICHOVSKY (éds), La nouvelle partie générale du Code pénal suisse, Berne 2006, ch. II lit. B p. 201). 4.2.3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 (ATF 134 IV 60 consid. 6.1 p.68 ; arrêt du Tribunal fédéral 6B_200/2009 du 27 août 2009 consid. 7.1.). Le montant du jour-amende ne peut être inférieur à CHF 10.– (ATF 135 IV 180 consid. 1.4.2 p. 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