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AARP/432/2023 vom 5. Dezember 2023</w:t>
      </w:r>
    </w:p>
    <w:p>
      <w:r>
        <w:t>GE Cour de justice, 2023-12-05, FR</w:t>
      </w:r>
    </w:p>
    <w:p>
      <w:r>
        <w:rPr>
          <w:b/>
        </w:rPr>
        <w:t xml:space="preserve">Quelle: </w:t>
      </w:r>
      <w:r>
        <w:t>https://mcp.opencaselaw.ch/entscheid/ge_gerichte_AARP_432_2023</w:t>
      </w:r>
    </w:p>
    <w:p>
      <w:r>
        <w:t>FR: GE_GERICHTE AARP/432/2023 du 5 décembre 2023</w:t>
      </w:r>
    </w:p>
    <w:p>
      <w:r>
        <w:t>IT: GE_GERICHTE AARP/432/2023 del 5 dicembre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w:t>
      </w:r>
    </w:p>
    <w:p>
      <w:r>
        <w:t>- 7/14 - P/9347/2022 des divers éléments et indices, qui doivent être examinés et évalués dans leur ensemble (arrêts du Tribunal fédéral 6B_1169/2017 du 15 juin 2018 consid. 1.1 ; 6B_608/2017 du 12 avril 2018 consid. 3.1).</w:t>
      </w:r>
    </w:p>
    <w:p>
      <w:r>
        <w:rPr>
          <w:b/>
        </w:rPr>
        <w:t>E. 2.2</w:t>
      </w:r>
    </w:p>
    <w:p>
      <w:r>
        <w:t>L'art. 286 CP réprime quiconque empêche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Le comportement incriminé suppose une résistance qui implique une certaine activité (ATF 133 IV 97 consid. 4.2 ; ATF 127 IV 115 consid. 2 ; ATF 124 IV 127 consid. 3a). Au contraire, l'infraction n'est pas réalisée si l'auteur se borne à ne pas obtempérer à un ordre qui lui est donné, par exemple de souffler dans l'éthylomètre, de parler moins fort ou de ne pas conduire (ATF 127 IV 115 consid. 2 ; ATF 120 IV 136 consid. 2a) ou qu'il se contente d'exprimer son désaccord à l'endroit d'un acte entrepris par un fonctionnaire, mais sans l'entraver (ATF 105 IV 48 consid. 3). L'infraction réprimée à l'art. 286 CP requiert l'intention ; le dol éventuel suffit.</w:t>
      </w:r>
    </w:p>
    <w:p>
      <w:r>
        <w:rPr>
          <w:b/>
        </w:rPr>
        <w:t>E. 2.3</w:t>
      </w:r>
    </w:p>
    <w:p>
      <w:r>
        <w:t>L'art. 19 al. 1 let. d LStup est réalisé par quiconque, sans droit, possède, détient ou acquiert des stupéfiants ou s'en procure de toute autre manière. 2.4.1. En l'espèce, contrairement à ce que plaide la défense, à la lecture du dossier de la procédure, il ne fait aucun doute que le sachet rouge contenant les stupéfiants a été caché dans la végétation par l'appelant. L'homme manipulant dit sachet est expressément identifié en la personne du prévenu dans le rapport d'arrestation ; rapport dont la teneur a été confirmée par son auteur en première instance. Aucun élément au dossier ne permet de douter des déclarations des policiers entendus, ni de la teneur de ce rapport. Lors de son audition, le caporal D______ a précisé certains points et apporté d'autres éléments de contexte (notamment en lien avec l'opération de lutte contre le trafic de stupéfiants en cours), ce qui démontre que ses souvenirs sont intacts. L'opération de lutte contre le trafic de stupéfiants en cours dans le secteur du jardin du Prieuré explique que l'individu n'ait pas été suivi dans son déplacement à la rue de la Coulouvrenière. Peu de temps s'est écoulé entre l'observation au jardin du Prieuré et l'interpellation, ce qui renforce encore l'absence de doute quant au fait que les policiers ont identifié le prévenu comme l'individu ayant dissimulé les stupéfiants dans la végétation. Enfin, les policiers l'ont observé, avant qu'il ne disparaisse dans la végétation, puis à sa sortie, sans sachet rouge. Le sachet rouge découvert par la brigade canine très peu de temps après (15 minutes) contenait la drogue susmentionnée.</w:t>
      </w:r>
    </w:p>
    <w:p>
      <w:r>
        <w:t>- 8/14 - P/9347/2022 Partant, l'infraction à l'art. 19 al. 1 let. d LStup est réalisée, l'appelant étant en possession de stupéfiants. 2.4.2. S'agissant de sa première interpellation, l'appelant a donné des explications différentes à sa fuite au cours de la procédure préliminaire : peur à la vue du policier suite à un prétendu coup reçu par le passé d'un homme affirmant appartenir aux forces de l'ordre (audition police) ; incompréhension de ce qu'il s'agissait de la police et conviction que des individus voulaient "l'attraper" (audition MP). Dans les deux variantes, ses explications ne sont pas crédibles. Il ne pouvait ignorer qu'il s'agissait de la police. L'agent s'était formellement identifié et portait un brassard de police. Il ne fait d'ailleurs aucun doute à la lecture de la procédure que l'appelant avait entendu les injonctions d'usage l'intimant de s'arrêter. Il a néanmoins sciemment décidé de prendre la fuite sachant qu'il venait de commettre une infraction et se trouvait en situation irrégulière. Il était en outre parfaitement conscient des conséquences d'une opposition à un contrôle de police ayant déjà fait l'objet d'une condamnation pénale récente pour de tels faits. Il a servi des explications similaires le 11 août 2022, ce qui démontre qu'il a toujours recours au même mauvais argument. Il ne saurait en effet soutenir avoir cru à ces deux reprises qu'il ne s'agissait pas de la police et évoquer un sentiment de peur à l'égard d'hommes souhaitant l'interpeller. Ce jour-là, les policiers étaient en uniforme et conduisaient des motocycles de service, aisément reconnaissables comme tels, et l'appelant ne bénéficiait pas des autorisations nécessaires pour entrer en Suisse. Partant, le prévenu s'est rendu coupable d'empêchement d'accomplir un acte officiel tant le 28 avril 2022 que le 11 août suivant. Les éléments objectifs et subjectifs de l'infraction sont remplis. 2.4.3. Les verdicts de culpabilité retenus en première instance seront intégralement confirmés.</w:t>
      </w:r>
    </w:p>
    <w:p>
      <w:r>
        <w:rPr>
          <w:b/>
        </w:rPr>
        <w:t>E. 3.1</w:t>
      </w:r>
    </w:p>
    <w:p>
      <w:r>
        <w:t>L'infraction d'empêchement d'accomplir un acte officiel selon l'art. 286 CP est sanctionnée d'une peine pécuniaire de 30 jours-amende au plus. L'infraction à l'art. 19 al. 1 let. d LStup est punie d'une peine privative de liberté de trois ans au plus ou d'une peine pécuniaire. L'entrée illégale est réprimée d'une peine privative de liberté d'un an au plus ou d'une peine pécuniaire.</w:t>
      </w:r>
    </w:p>
    <w:p>
      <w:r>
        <w:rPr>
          <w:b/>
        </w:rPr>
        <w:t>E. 3.2</w:t>
      </w:r>
    </w:p>
    <w:p>
      <w:r>
        <w:t>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w:t>
      </w:r>
    </w:p>
    <w:p>
      <w:r>
        <w:t>- 9/14 - P/9347/2022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ATF 135 IV 188 consid. 3.4.3).</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 (ATF 144 IV 313 consid. 1.2). En matière d'infractions fondées sur l'art. 19 LStup, la quantité nette de drogue en cause (1) et le rôle joué par l'auteur (2) sont deux critères importants, mais non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- 10/14 - P/9347/2022</w:t>
      </w:r>
    </w:p>
    <w:p>
      <w:r>
        <w:rPr>
          <w:b/>
        </w:rPr>
        <w:t>E. 3.5</w:t>
      </w:r>
    </w:p>
    <w:p>
      <w:r>
        <w:t>En l'espèce, l'infraction la plus grave commise par l'appelant est celle à l'art. 19 al. 1 let. d LStup. Eu égard à cette infraction, sa culpabilité est moyenne vu les quantités relativement faibles de stupéfiants en cause. Son mobile est égoïste, il a agi mû par l'appât du gain. Sa collaboration est mauvaise. Sa prise de conscience est inexistante. Il persiste, en appel encore, à contester les faits qui lui sont reprochés. La situation personnelle de l'appelant est difficile, mais celle-ci n'est pas directement en lien avec l'infraction de détention de stupéfiants selon l'art. 19 al. 1 let. d LStup et ne saurait justifier ses actes. Il sera tenu compte de son jeune âge au moment des faits. L'appelant se trouve par ailleurs en situation de récidive puisqu'il a été condamné à deux reprises en 2021 puis 2022, notamment pour entrée et séjour illégaux ainsi que pour opposition aux actes de l'autorité, ce qui mène à une sévérité accrue au moment de fixer la peine (ATF 136 IV 1 consid. 2.6.2). Il a par ailleurs récidivé rapidement après sa condamnation du 26 février 2022, puis une nouvelle fois en août 2022. Son activité délictuelle s'intensifie puisqu'aux infractions contre l'autorité publique et la loi sur les étrangers et l'intégration, s'ajoute maintenant une infraction en matière de stupéfiants. Étant donné les antécédents de l'appelant (spécifiques et récents s'agissant des infractions à la LEI et à l'art. 286 CP) et ses ressources limitées, il est très vraisemblable qu'une peine pécuniaire n'aurait aucun effet préventif et ne pourrait pas être exécutée. Il y a donc lieu de prononcer une peine privative de liberté pour les infractions à la LStup et à la LEI. De plus, au vu du pronostic négatif, seule une peine ferme entre en ligne de compte, point au demeurant non contesté par l'appelant. Au vu de ce qui précède, une peine privative de liberté de 80 jours paraît adéquate pour sanctionner l'infraction à l'art. 19 al. 1 let. d LStup. La quotité de la peine prononcée en première instance pour les infractions d'entrées illégales est appropriée : 20 jours (peine hypothétique : 30 jours) pour chacune des entrées illégales sur le territoire, soit une peine globale de 120 jours de privation de liberté.</w:t>
      </w:r>
    </w:p>
    <w:p>
      <w:r>
        <w:rPr>
          <w:b/>
        </w:rPr>
        <w:t>E. 3.6</w:t>
      </w:r>
    </w:p>
    <w:p>
      <w:r>
        <w:t>S'agissant de l'infraction d'empêchement d'accomplir un acte officiel, la culpabilité de l'appelant est moyenne. Ses circonstances personnelles sont les mêmes que celles détaillées ci-avant.</w:t>
      </w:r>
    </w:p>
    <w:p>
      <w:r>
        <w:t>- 11/14 - P/9347/2022 À cette aune, une peine pécuniaire de 30 jours-amende, à CHF 10.- l'unité, sera prononcée vu sa situation financière précaire (peine de base de 20 unités auxquels s'ajoutent 10 unités [peine hypothétique de 20 unités] pour tenir compte de la seconde infraction à l'art. 286 CP). Comme précédemment discuté, cette peine sera ferme vu qu'il se trouve en situation de récidive et qu'un pronostic particulièrement favorable ne peut être retenu.</w:t>
      </w:r>
    </w:p>
    <w:p>
      <w:r>
        <w:rPr>
          <w:b/>
        </w:rPr>
        <w:t>E. 3.7</w:t>
      </w:r>
    </w:p>
    <w:p>
      <w:r>
        <w:t>L'appelant sera partant condamné à une peine pécuniaire ferme de 30 jours- amende, à CHF 10.-, en cumul avec une peine privative de liberté ferme de 120 jours, ces peines n'étant pas de même genre. La non révocation du sursis octroyé par le MP le 19 octobre 2021 est acquise à l'appelant. 4. L'appelant, qui succombe, supportera les frais de la procédure envers l'État (art. 428 CPP), lesquels comprennent un émolument de décision de CHF 1'500.-. L'émolument complémentaire de jugement, arrêté à CHF 600.- par le TP, suivra le même sort.</w:t>
      </w:r>
    </w:p>
    <w:p>
      <w:r>
        <w:t>Vu la confirmation des verdicts de culpabilité, il n'y a pas lieu de revoir la répartition des frais de la procédure préliminaire et de première instance. 5. Considéré globalement, l'état de frais produit par Me B______, défenseur d'office de A______ satisfait les exigences légales et jurisprudentielles régissant l'assistance judiciaire gratuite en matière pénale.</w:t>
      </w:r>
    </w:p>
    <w:p>
      <w:r>
        <w:t>Sa rémunération sera partant arrêtée à CHF 1'163.15 correspondant à 4h30 d'activité au tarif de CHF 200.-/heure (CHF 900.-), plus la majoration forfaitaire de 20% (CHF 180.-) et la TVA au taux de 7.7% (CHF 83.15). * * * * *</w:t>
      </w:r>
    </w:p>
    <w:p>
      <w:r>
        <w:t>- 12/14 - P/9347/2022</w:t>
      </w:r>
    </w:p>
    <w:p>
      <w:r>
        <w:rPr>
          <w:b/>
        </w:rPr>
        <w:t>E. 7</w:t>
      </w:r>
    </w:p>
    <w:p>
      <w:r>
        <w:t>avril 2015 consid. 1.1.1 ; 6B_632/2014 du 27 octobre 2014 consid. 1.2 ; 6B_107/2013 du 15 mai 2013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