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AARP/431/2020 vom 28. Dezember 2020</w:t>
      </w:r>
    </w:p>
    <w:p>
      <w:r>
        <w:t>GE Cour de justice, 2020-12-28, FR</w:t>
      </w:r>
    </w:p>
    <w:p>
      <w:r>
        <w:rPr>
          <w:b/>
        </w:rPr>
        <w:t xml:space="preserve">Quelle: </w:t>
      </w:r>
      <w:r>
        <w:t>https://mcp.opencaselaw.ch/entscheid/ge_gerichte_AARP_431_2020</w:t>
      </w:r>
    </w:p>
    <w:p>
      <w:r>
        <w:t>FR: GE_GERICHTE AARP/431/2020 du 28 décembre 2020</w:t>
      </w:r>
    </w:p>
    <w:p>
      <w:r>
        <w:t>IT: GE_GERICHTE AARP/431/2020 del 28 dicembre 2020</w:t>
      </w:r>
    </w:p>
    <w:p>
      <w:pPr>
        <w:pStyle w:val="Heading2"/>
      </w:pPr>
      <w:r>
        <w:t>Erwägungen</w:t>
      </w:r>
    </w:p>
    <w:p>
      <w:r>
        <w:rPr>
          <w:b/>
        </w:rPr>
        <w:t>E. 18</w:t>
      </w:r>
    </w:p>
    <w:p>
      <w:r>
        <w:t>septembre 2019. En substance, le TPI a débouté cette dernière de ses conclusions, considérant qu'elle n'était pas parvenue à établir une séparation effective survenue au plus tard le 18 septembre 2017. D. A______, ressortissant ivoirien, né le ______ 1968, est séparé, sans enfant. Il bénéficie de l'aide financière de l'Hospice général et perçoit à ce titre CHF 2'211.- par mois.</w:t>
      </w:r>
    </w:p>
    <w:p>
      <w:r>
        <w:t>Selon l'extrait de son casier judiciaire suisse, il n'a pas d'antécédent. E. Me B______, défenseur d'office de A______, dépose un état de frais pour la procédure d'appel, facturant, sous des libellés divers, six heures et 30 minutes d'activité de chef d'étude, dont 15 minutes pour la rédaction de la déclaration d'appel et cinq heures et 30 minutes pour la rédaction du mémoire d'appel motivé. EN DROIT : 1. 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 2. 2.1.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w:t>
      </w:r>
    </w:p>
    <w:p>
      <w:r>
        <w:t>- 6/16 - P/12660/2019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w:t>
      </w:r>
    </w:p>
    <w:p>
      <w:r>
        <w:t>2.2. Au cours de la procédure d'appel, l'appelant a sollicité qu'une expertise graphologique soit ordonnée, en lien avec la "déclaration concernant la communauté conjugale" établie le 28 janvier 2019.</w:t>
      </w:r>
    </w:p>
    <w:p>
      <w:r>
        <w:t>En l'occurrence, il est établi par les déclarations de l'appelant lui-même que la signature apposée sur le document litigieux, en-dessous du nom de C______, n'est pas celle de l'intéressée. Les éléments au dossier suffisent par ailleurs à la CPAR pour lui permettre d'apprécier la crédibilité des parties. Enfin, la mise en œuvre d'une expertise graphologique ne serait en tout état d'aucune utilité pour déterminer l'existence d'un faux intellectuel, qui est notamment en cause.</w:t>
      </w:r>
    </w:p>
    <w:p>
      <w:r>
        <w:t>Partant, la réquisition de preuve formulée par l'appelant doit être rejetée. 3. 3.1.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3.2.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127 I 28 consid. 2a p. 40 s. ; 144 IV 345 consid. 2.2.3.2).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t>3.3. Aux termes de l'art. 251 ch. 1 CP, celui qui, dans le dessein de porter atteinte aux intérêts pécuniaires ou aux droits d'autrui, ou de se procurer ou de procurer à un tiers</w:t>
      </w:r>
    </w:p>
    <w:p>
      <w:r>
        <w:t>- 7/16 - P/12660/2019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Sont notamment des titres tous les écrits destinés et propres à prouver un fait ayant une portée juridique, à savoir un fait qui, seul ou en liaison avec d'autres faits, donne naissance à un droit, le modifie, le supprime ou le constate (art. 110 al. 4 CP). L'aptitude à prouver se détermine en vertu de la loi ou, à défaut, en se basant sur des usages commerciaux (ATF 132 IV 57 consid. 5.1). L'art. 251 CP vise d'une part le faux matériel, qui consiste dans la fabrication d'un titre faux, la falsification d'un titre ou l'abus de blanc-seing. Dans ces trois hypothèses, le véritable auteur du titre ne correspond pas à l'auteur apparent (ATF 129 IV 130 consid. 2.1, JdT 2005 IV 118). Autrement dit, le faussaire crée un titre qui trompe sur l'identité de celui dont il émane en réalité (ATF 132 IV 57 consid. 5.1.1). Cette disposition vise également le faux intellectuel, soit la constatation d'un fait inexact, en ce sens que la déclaration contenue dans le titre ne correspond pas à la réalité. Le simple mensonge écrit n'est pas répréhensible, contrairement au faux intellectuel. Pour cette raison, même si on se trouve en présence d'un titre, il est nécessaire, pour que l'acte soit punissable, que le document ait une valeur probante accrue (ATF 125 IV 17 consid. 2a/aa, JdT 2003 IV 75).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La notion d'avantage est très large. Elle vise tout type d'avantage, d'ordre matériel ou immatériel, qui peut être destiné à l'auteur lui-même ou à un tiers (ATF 129 IV 53 consid. 3.5 p. 60 ; arrêt du Tribunal fédéral 6B_116/2017 du 9 juin 2017 consid. 2.2.3). L'illicéité peut être déduite du seul fait que l'auteur recourt à un faux (arrêts du Tribunal fédéral 6B_441/2016 du 29 mars 2017 consid. 6.2 ; 6B_367/2007 du 10 octobre 2007 consid. 4.4 non publié in ATF 133 IV 303).</w:t>
      </w:r>
    </w:p>
    <w:p>
      <w:r>
        <w:t>3.4. En l'espèce, la Cour a acquis la conviction non seulement que les époux A______ étaient séparés de fait avant la signature de l'attestation du 4 septembre 2018, soit a fortiori au moment de l'établissement de la déclaration du 28 janvier</w:t>
      </w:r>
    </w:p>
    <w:p>
      <w:r>
        <w:t>- 8/16 - P/12660/2019 2019, mais également que l'appelant a bel et bien imité la signature de C______ sur ledit document, avant de l'adresser au SEM.</w:t>
      </w:r>
    </w:p>
    <w:p>
      <w:r>
        <w:t>En effet, C______ a affirmé, de manière constante et crédible, qu'elle s'était séparée de l'appelant avant les faits litigieux. La thèse selon laquelle elle aurait accepté de retarder l'initiation de la procédure de divorce pour ne pas entraver son époux dans l'obtention de son permis C, tout en s'opposant à la naturalisation de ce dernier, emporte conviction. Elle est d'ailleurs confirmée par le refus de signer la déclaration litigieuse lorsqu'elle lui a été présentée le 9 janvier 2019, fait admis par l'appelant. La version de C______ prévaut ainsi sur celle de A______, qui a pour sa part tenu des propos contradictoires, affirmant qu'une proposition de divorce à l'amiable lui avait été soumise au mois de juin 2019, puis qu'il avait habité avec son épouse jusqu'au mois de juillet 2019. Par ailleurs, il est établi par les déclarations de l'appelant lui-même, qui s'accordent avec celles de C______, que cette dernière a refusé de signer la "déclaration concernant la communauté conjugale" lorsque son époux la lui a présentée le 9 janvier 2019. La thèse de l'appelant, selon laquelle son épouse ou l'un de ses proches aurait signé et envoyé le document au SEM dans le but de lui nuire, soit afin de l'empêcher d'obtenir la nationalité suisse, confine à l'absurdité. En effet, il va de soi que la meilleure manière d'entraver A______ dans sa démarche était précisément de ne pas signer l'attestation. On voit difficilement quel intérêt C______, voire l'un de ses proches, aurait eu à apposer sur le document une signature que l'appelant lui- même décrit comme grossièrement imitée, puis de l'envoyer, pour ensuite le dénoncer. Concrètement, l'appelant était le seul à avoir un intérêt dans l'envoi de ce document, lequel lui a d'ailleurs précisément permis d'obtenir la nationalité suisse trois mois plus tard. La déclaration litigieuse doit être qualifiée de titre, dès lors qu'elle constitue un écrit destiné et propre à prouver un fait ayant une portée juridique. En effet, celle-ci a été signée par l'appelant dans le but de prouver au SEM qu'il formait avec C______ une communauté effective et stable, de manière à obtenir la nationalité suisse, objectif auquel il est parvenu.</w:t>
      </w:r>
    </w:p>
    <w:p>
      <w:r>
        <w:t>Cette déclaration revêt en outre une valeur probante accrue, dans la mesure où son destinataire, le SEM, pouvait s'y fier valablement, étant précisé qu'il résulte des circonstances de l'espèce qu'il n'était pas systématiquement procédé à un entretien en présence des deux époux à des fins de vérifications et que c'est donc sur la base de ce document écrit que A______ a pu bénéficier d'une naturalisation facilitée.</w:t>
      </w:r>
    </w:p>
    <w:p>
      <w:r>
        <w:t>Ainsi, en signant un document dont le contenu ne correspondait pas à la réalité, la communauté de fait avec C______ ayant cessé précédemment, A______ a créé un faux intellectuel.</w:t>
      </w:r>
    </w:p>
    <w:p>
      <w:r>
        <w:t>- 9/16 - P/12660/2019 Il a également créé un faux matériel en imitant la signature de son épouse sur la déclaration, à l'insu de cette dernière, laquelle avait au demeurant expressément manifesté son désaccord, trompant de ce fait le SEM sur le cosignataire réel dudit document. L'appelant a agi intentionnellement, connaissant le caractère faux du titre créé et sa valeur probante, avec la volonté – qui s'est concrétisée – d'obtenir indûment la nationalité suisse par le biais de celui-ci. Il a agi dans l'intention de tromper le SEM pour se procurer un avantage illicite, soit l'amélioration de son statut administratif au regard du droit des étrangers, avec les conséquences personnelles et perspectives professionnelles que celle-ci implique, alors qu'il n'y avait pas droit, les conditions pour obtenir la naturalisation n'étant pas réunies.</w:t>
      </w:r>
    </w:p>
    <w:p>
      <w:r>
        <w:t>La culpabilité de A______ du chef de faux dans les titres sera donc confirmée. 4. 4.1.1. La LEI règle l'entrée en Suisse et la sortie de Suisse, le séjour des étrangers et le regroupement familial. Elle règle en outre l'encouragement de l'intégration des étrangers (art. 1 LEI). Elle s'applique aux étrangers dans la mesure où leur statut juridique n'est pas réglé par d'autres dispositions du droit fédéral ou par des traités internationaux conclus par la Suisse (art. 2 al. 1 LEI). 4.1.2. Le comportement frauduleux à l'égard des autorités au sens de l'art. 118 al. 1 LEI 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Le résultat de l'infraction se produit lorsque l'autorisation de séjour est accordée. A défaut, il s'agit d'une tentative. 4.1.3. La procédure de naturalisation facilitée est réglée, en Suisse, par la loi fédérale sur la nationalité suisse (LN) et l'ordonnance sur la nationalité suisse (OLN).</w:t>
      </w:r>
    </w:p>
    <w:p>
      <w:r>
        <w:t>4.2. En l'espèce, la LEI n'a vocation à s'appliquer que dans la mesure où le statut d'un étranger n'est pas réglé notamment par d'autres dispositions du droit fédéral, dont font précisément parties les règles de la LN.</w:t>
      </w:r>
    </w:p>
    <w:p>
      <w:r>
        <w:t>Or, c'est bien dans le cadre de sa demande de naturalisation facilitée que l'appelant a produit la déclaration litigieuse.</w:t>
      </w:r>
    </w:p>
    <w:p>
      <w:r>
        <w:t>S'il ne fait aucun doute que ce dernier a bien cherché, par sa démarche frauduleuse, à induire en erreur le SEM, et qu'il y est même parvenu, il ne se rend pas coupable d'une infraction à l'art. 118 al. 1 LEI pour autant.</w:t>
      </w:r>
    </w:p>
    <w:p>
      <w:r>
        <w:t>- 10/16 - P/12660/2019</w:t>
      </w:r>
    </w:p>
    <w:p>
      <w:r>
        <w:t>Au vu de ce qui précède, A______ sera donc acquitté de ce chef d'accusation, la LEI n'étant pas applicable en l'espèce. 5. 5.1.1. L'infraction de faux dans les titres est passible d'une peine privative de liberté de cinq ans au plus ou d'une peine pécuniaire, tandis que l'infraction à l'art. 118 al. 1 LEI est sanctionnée par une peine privative de liberté de trois ans au plus ou d'une peine pécuniaire.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5.1.3.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5.1.4. Aux termes de l'art. 42 al. 1 CP, le juge suspend en règle générale l'exécution d'une peine pécuniaire ou d'une peine privative de liberté de deux ans au plus lorsqu'une peine ferme ne paraît pas nécessaire pour détourner l'auteur d'autres crimes ou délits.</w:t>
      </w:r>
    </w:p>
    <w:p>
      <w:r>
        <w:t>5.2. En l'espèce, l'appelant ne conteste pas la peine qui lui a été infligée en première instance, au-delà de l'acquittement plaidé.</w:t>
      </w:r>
    </w:p>
    <w:p>
      <w:r>
        <w:t>- 11/16 - P/12660/2019 En l'occurrence, même en considérant l'acquittement partiel prononcé, la faute de l'appelant est lourde. En constituant un faux document, à l'insu de son épouse, ce dans le but d'obtenir indûment la nationalité suisse, il a porté atteinte à la confiance placée dans un titre dans le cadre des rapports juridiques et trompé la confiance du SEM. Il a agi dans son pur intérêt, au mépris de la législation en vigueur. Il a fait preuve d'une collaboration médiocre à l'enquête, variant dans ses déclarations et fournissant des explications confuses, tout en niant son implication. Sa prise de conscience apparaît ainsi inexistante. Sa situation personnelle n'explique en rien ses agissements et l'absence d'antécédent a un effet neutre sur la fixation de la peine. Au vu des éléments qui précèdent, la peine pécuniaire de 60 jours-amende fixée par le premier juge, d'une certaine clémence, paraît, en dépit de l'acquittement prononcé, justifiée et proportionnée pour sanctionner l'infraction de faux dans les titres et devra partant être confirmée. Le montant du jour-amende, arrêté à CHF 30.-, est adéquat au regard de sa situation économique. L'octroi du sursis et la durée du délai d'épreuve de trois ans, non contestés en appel, sont acquis à l'appelant (art. 391 al. 2 CPP). 6. 6.1.1. Selon l'art. 428 al. 1 première phrase CPP, les frais de la procédure de recours sont mis à la charge des parties dans la mesure où elles ont obtenu gain de cause ou succombé.</w:t>
      </w:r>
    </w:p>
    <w:p>
      <w:r>
        <w:t>6.1.2. Si l'autorité de recours rend elle-même une nouvelle décision, elle se prononce également sur les frais fixés par l'autorité inférieure (art. 428 al. 3 CPP).</w:t>
      </w:r>
    </w:p>
    <w:p>
      <w:r>
        <w:t>6.2.1. En l'occurrence, l'appelant obtient partiellement gain de cause, sa condamnation pour faux dans les titres étant confirmée, de même que sa peine. Il sera donc condamné à supporter les 2/3 des frais de la procédure d'appel, comprenant un émolument de CHF 1'500.-, le solde étant laissé à la charge de l'Etat.</w:t>
      </w:r>
    </w:p>
    <w:p>
      <w:r>
        <w:t>6.2.2. S'agissant des frais de première instance, et compte tenu de l'acquittement prononcé, la moitié de ceux-ci sera mise à la charge de l'appelant, le solde étant laissé à la charge de l'Etat. 7. 7.1. Selon l'art. 429 al. 1 let. b CPP, le prévenu acquitté en partie a le droit d'obtenir une indemnité pour le dommage économique subi au titre de sa participation obligatoire à la procédure pénale. De même, il a droit à une réparation du tort moral subi en raison d'une atteinte particulièrement grave à sa personnalité, au sens des art. 28 al. 2 du code civil suisse (CC) ou 49 de la loi fédérale complétant le Code civil suisse (CO), du fait de la procédure (art. 429 al. 1 let. c CPP).</w:t>
      </w:r>
    </w:p>
    <w:p>
      <w:r>
        <w:t>- 12/16 - P/12660/2019</w:t>
      </w:r>
    </w:p>
    <w:p>
      <w:r>
        <w:t>7.2. Dûment interpellé, l'appelant n'a pas formulé de conclusions en indemnisation relatif à un éventuel dommage économique ou à la réparation de son tort moral. Par ailleurs, en dépit de son acquittement partiel, l'intégralité des faits qui lui sont reprochés demeurent pénalement relevants. Il doit ainsi être retenu que même si la procédure avait été d'emblée limitée à l'infraction de faux dans les titres pour laquelle l'appelant est condamné, celle-ci n'aurait pas causé une atteinte moindre à ses intérêts économiques ou à son bien-être, de sorte qu'il ne saurait en tout état prétendre à une quelconque indemnisation. 8. 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8.1.2. L'activité consacrée aux conférences, audiences et autres actes de la procédure est majorée de 20% jusqu'à 30 heures de travail, décomptées depuis l'ouverture de la procédure, et de 10% lorsque l'état de frais porte sur plus de 30 heures, pour couvrir</w:t>
      </w:r>
    </w:p>
    <w:p>
      <w:r>
        <w:t>- 13/16 - P/12660/2019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la déclaration d'appel (ordonnance de la Cour des plaintes du Tribunal pénal fédéral BB.2014.51 du</w:t>
      </w:r>
    </w:p>
    <w:p>
      <w:r>
        <w:rPr>
          <w:b/>
        </w:rPr>
        <w:t>E. 21</w:t>
      </w:r>
    </w:p>
    <w:p>
      <w:r>
        <w:t>novembre 2014 consid. 2.1 ; décisions de la Cour des plaintes du Tribunal pénal fédéral BB.2013.165 du 24 janvier 2014 consid. 4.1.3 et BB.2013.127 du 4 décembre 2013 consid. 4.2) ou la requête d'exécution anticipée de la peine (décision de la Cour des plaintes du Tribunal pénal fédéral BB.2013.22 du 31 octobre 2013 consid. 5.2.3).</w:t>
      </w:r>
    </w:p>
    <w:p>
      <w:r>
        <w:t>8.2. En l'occurrence, le temps consacré à la rédaction de la déclaration d'appel n'a pas à être indemnisé, cette activité étant couverte par le forfait. Par ailleurs, le temps facturé pour la rédaction du mémoire d'appel, totalisant moins de sept pages de raisonnement, sera ramené à deux heures, lesquelles apparaissent largement suffisantes eu égard à la complexité modérée de la cause.</w:t>
      </w:r>
    </w:p>
    <w:p>
      <w:r>
        <w:t>En conclusion, la rémunération de Me B______ sera arrêtée à CHF 710.80, correspondant à deux heures et 45 minutes d'activité au tarif de CHF 200.-/heure plus la majoration forfaitaire de 20% et l'équivalent de la TVA au taux de 7.7% en CHF 50.80. * * * * *</w:t>
      </w:r>
    </w:p>
    <w:p>
      <w:r>
        <w:t>- 14/16 - P/12660/2019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