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AARP/430/2025 vom 2. Dezember 2025</w:t>
      </w:r>
    </w:p>
    <w:p>
      <w:r>
        <w:t>GE Cour de justice, 2025-12-02, FR</w:t>
      </w:r>
    </w:p>
    <w:p>
      <w:r>
        <w:rPr>
          <w:b/>
        </w:rPr>
        <w:t xml:space="preserve">Quelle: </w:t>
      </w:r>
      <w:r>
        <w:t>https://mcp.opencaselaw.ch/entscheid/ge_gerichte_AARP_430_2025</w:t>
      </w:r>
    </w:p>
    <w:p>
      <w:r>
        <w:t>FR: GE_GERICHTE AARP/430/2025 du 2 décembre 2025</w:t>
      </w:r>
    </w:p>
    <w:p>
      <w:r>
        <w:t>IT: GE_GERICHTE AARP/430/2025 del 2 dicembre 2025</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t>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Selon l'art. 125 al. 1 CP, quiconque, par négligence, fait subir à une personne une atteinte à l'intégrité corporelle ou à la santé est, sur plainte, puni d'une peine privative de liberté de trois ans au plus ou d'une peine pécuniaire. Cet article suppose la réalisation de trois conditions : une négligence, soit la violation fautive d'un devoir de prudence, une atteinte à l'intégrité physique et un lien de causalité naturelle et adéquate entre ces deux éléments.</w:t>
      </w:r>
    </w:p>
    <w:p>
      <w:r>
        <w:t>- 11/21 - P/5078/2021</w:t>
      </w:r>
    </w:p>
    <w:p>
      <w:r>
        <w:rPr>
          <w:b/>
        </w:rPr>
        <w:t>E. 2.2.1</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 Nebentäter), que son comportement représente la cause directe et immédiate du résultat ou qu'il l'ait "seulement" rendu possible ou favorisé (arrêts du Tribunal fédéral 6B_1333/2022 du 2 octobre 2023 consid. 2.2.5 ; 6B_491/2021 du 23 mai 2022 consid. 2.1.2).</w:t>
      </w:r>
    </w:p>
    <w:p>
      <w:r>
        <w:rPr>
          <w:b/>
        </w:rPr>
        <w:t>E. 2.2.2</w:t>
      </w:r>
    </w:p>
    <w:p>
      <w:r>
        <w:t>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145 IV 154 consid. 2.1;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134 IV 255 consid. 4.2.3). L'étendue du devoir de diligence doit s'apprécier en fonction de la situation personnelle de l'auteur, c'est-à-dire de ses connaissances et de ses capacités (ATF 135 IV 56 consid. 2.1 ; arrêt du Tribunal fédéral 6B_1190/2023 du 4 septembre 2024 consid. 4.1.1). En second lieu, la violation du devoir de prudence doit être fautive, c'est-à-dire qu'il faut pouvoir reprocher à l'auteur de n'avoir pas déployé l'attention et les efforts qu'on pouvait attendre de lui pour se conformer à son devoir de prudence (ATF 145 IV 154 consid. 2.1 ; 135 IV 56 consid. 2.1).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 à d CP). N'importe quelle obligation juridique ne suffit pas ; il faut qu'elle ait découlé d'une position de garant, c'est-à-dire que l'auteur se soit trouvé dans une situation qui l'obligeait à ce point à protéger un bien déterminé contre</w:t>
      </w:r>
    </w:p>
    <w:p>
      <w:r>
        <w:t>- 12/21 - P/5078/2021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 141 IV 249 consid. 1.1).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(ATF 129 IV 119 consid. 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6B_1295/2021 du 16 juin 2022 consid. 2.1.2). Lorsqu'un comportement actif est imputé à l'auteur, la culpabilité de ce dernier doit être envisagée au regard de ses actes, indépendamment du fait qu'il ait eu ou non une position de garant (ATF 122 IV 145 consid. 2 ; 121 IV 10 consid. 2b ; arrêt du Tribunal fédéral 6B_64/2023 du 14 juillet 2023 consid. 1.1.2).</w:t>
      </w:r>
    </w:p>
    <w:p>
      <w:r>
        <w:rPr>
          <w:b/>
        </w:rPr>
        <w:t>E. 2.2.3</w:t>
      </w:r>
    </w:p>
    <w:p>
      <w:r>
        <w:t>L'atteinte à l'intégrité personnelle doit revêtir la forme de lésions corporelles graves ou simples au sens des articles 122 ou 123 CP.</w:t>
      </w:r>
    </w:p>
    <w:p>
      <w:r>
        <w:rPr>
          <w:b/>
        </w:rPr>
        <w:t>E. 2.2.4</w:t>
      </w:r>
    </w:p>
    <w:p>
      <w:r>
        <w:t>Il faut enfin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(arrêts du Tribunal fédéral 6B_1098/2017 du</w:t>
      </w:r>
    </w:p>
    <w:p>
      <w:r>
        <w:rPr>
          <w:b/>
        </w:rPr>
        <w:t>E. 2.3</w:t>
      </w:r>
    </w:p>
    <w:p>
      <w:r>
        <w:t>L'art. 219 al. 1 CP prévoit que quiconque viole son devoir d'assister ou d'élever une personne mineure dont il met ainsi en danger le développement physique ou psychique, ou qui manque à ce devoir, est puni d'une peine privative de liberté de trois ans au plus ou d'une peine pécuniaire.</w:t>
      </w:r>
    </w:p>
    <w:p>
      <w:r>
        <w:rPr>
          <w:b/>
        </w:rPr>
        <w:t>E. 2.3.1</w:t>
      </w:r>
    </w:p>
    <w:p>
      <w:r>
        <w:t>Pour que cette disposition soit applicable, il faut d'abord que l'auteur ait eu envers une personne mineure un devoir d'assistance, c'est-à-dire de protection, ou un devoir d'éducation, c'est-à-dire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 Il faut ensuite que l'auteur ait violé son devoir d'assistance ou d'éducation ou qu'il ait manqué à ce devoir. Le comportement délictueux peut donc consister en une action, par exemple des sévices envers le mineur, ou en une omission, par exemple un abandon de l'enfant ou des manquements aux soins ou à la protection dus à celui-ci (ATF 125 IV 64 consid. 1a). L'infraction réprimée par l'art. 219 CP est un délit de mise en danger concrète ; il n'est donc pas nécessaire que le comportement de l'auteur aboutisse à un résultat, c'est-à- dire à une atteinte à l'intégrité corporelle ou psychique du mineur ; la simple possibilité abstraite d'une atteinte ne suffit cependant pas ; il faut que cette atteinte apparaisse à tout le moins vraisemblable dans le cas concret (ATF 126 IV 136 consid. 1b).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En pratique, il sera souvent difficile de déterminer quand il y aura un risque pour le développement du mineur. Il sera en particulier délicat de distinguer les atteintes</w:t>
      </w:r>
    </w:p>
    <w:p>
      <w:r>
        <w:t>- 14/21 - P/5078/2021 relevant de l'art. 219 CP des traumatismes qui font partie de la vie de tout enfant. Vu l'imprécision de la disposition, la doctrine préconise de l'interpréter de manière restrictive et d'en limiter l'application aux cas manifestes (arrêt du Tribunal fédéral 6S.339/2003 du 12 novembre 2003 consid. 2.3).</w:t>
      </w:r>
    </w:p>
    <w:p>
      <w:r>
        <w:rPr>
          <w:b/>
        </w:rPr>
        <w:t>E. 2.3.2</w:t>
      </w:r>
    </w:p>
    <w:p>
      <w:r>
        <w:t>Sur le plan subjectif, l'infraction décrite à l'art. 219 al. 1 CP est intentionnelle, étant relevé que le dol éventuel suffit. L'intention doit porter sur l'existence du devoir, son contenu, le fait qu'il soit violé et sur la mise en danger du développement de l'enfant (M. DUPUIS et al. (éds), Petit commentaire du Code pénal, 2ème éd., Bâle 2017, n. 3 ad art. 219). 2.4.1. En l'espèce, il est admis et non contesté que les lésions corporelles simples, à savoir l'hématome frontal et le traumatisme crânien, attestés par la fiche de signalement des HUG du 25 novembre 2020, ont été causées par la chute au sol de F______. Autre est la question de savoir dans quelles circonstances cette chute est survenue. La version des appelants diverge à ce sujet. S'ils se sont montrés tous deux constants dans leurs explications, celles de l'appelante sont néanmoins corroborées par un constat médical, ainsi que des photographies versés au dossier. En outre, les lésions du plaignant sont davantage compatibles avec une chute à hauteur d'homme que depuis un lit. L'appelante n'avait enfin aucune raison d'imaginer une histoire qui la mettrait également en cause. La Cour retient dès lors que les propos de l'appelante sont crédibles et tient sa version pour établie, de sorte que ceux de l'appelant seront écartés. 2.4.2. Dans ces circonstances, si la violation fautive du devoir de prudence de l'appelant, qui a délibérément tiré le bras de son épouse, alors qu'elle portait leur bébé, est évidente, la négligence de l'appelante est également établie, ayant par son comportement rendu possible le résultat (voir supra ch. 2.2.1), soit la chute de leur fils. En effet, alors qu'elle venait d'être elle-même rouée de coups par son époux, très en colère, elle a choisi d'aller chercher leur enfant en pleurs et de le prendre dans ses bras, l'exposant ainsi directement au danger de leur dispute tant verbale que physique. Dans ces conditions, elle n'a pu qu'accepter l'éventualité qu'il soit lui-même blessé par un geste parfaitement prévisible d'attaque, voire de défense, de l'un ou l'autre des parents, ce alors même qu'elle aurait dû, dans le respect de son devoir de garante, le laisser pleurer dans le berceau en toute sécurité, quand bien même son affection pour son petit garçon est manifeste. 2.4.3. Par conséquent, les verdicts de culpabilité de lésions corporelles par négligence (art. 125 al. 1 CP) seront dès lors confirmés et les appels rejetés.</w:t>
      </w:r>
    </w:p>
    <w:p>
      <w:r>
        <w:t>- 15/21 - P/5078/2021 2.5.1. Il est incontesté que les intimés sur appel joint avaient un devoir d'assistance et d'éducation à l'égard de leur jeune enfant. Ainsi, en exposant ce dernier à leurs violentes disputes tant verbales que physiques durant une période totale d'environ trois mois, soit entre les 22 novembre 2020 et 24 février 2021, ils ont violé leurs devoirs parentaux, alors même qu'ils avaient été mis en garde par plusieurs intervenants sur les risques pour le développement psychique de leur bébé. 2.5.2. Il convient néanmoins de se demander encore si, en agissant de la sorte, les prévenus ont porté atteinte, ou même concrètement mis en danger, le développement psychique de leur garçon. Aucun trouble, traumatisme ou séquelle n'a été mis en évidence par les médecins chez le plaignant, ce qui n'est pas contesté par ce dernier. Quant à la mise en danger du développement de l'enfant, si les pédiatres des HUG ont, certes, relevé en novembre 2020 et février 2021 un risque pour son développement, ainsi qu'un risque de danger physique, voire de la maltraitance s'agissant des dangers psychologiques, les attestations médicales rédigées plus de trois ans après les faits établissent que F______ ne présente aucune séquelle ou traumatisme en lien avec les violences conjugales dont il avait été témoin et qui n'avaient eu aucun impact sur son développement, normal et adéquat pour son âge, ce qui a encore été confirmé aux débats d'appel tant par sa mère que par sa curatrice. En définitive, la mise en danger du développement psychique de l'enfant évoquée en 2020 et 2021 fut simplement abstraite et non pas concrète, au sens de l'art. 219 CP qu'il convient d'interpréter de manière restrictive et dont l'application est limitée aux cas manifestes (arrêt du Tribunal fédéral 6S.339/2003 du 12 novembre 2003 consid. 2.3). Ainsi, sous l'angle de la tentative, il ne saurait être retenu que par leurs comportements les prévenus auraient cherché à mettre concrètement en danger le développement de leur enfant, voire qu'ils se seraient accommodés d'un tel résultat. 2.5.3. Partant, l'acquittement des prévenus de violation du devoir d'assistance ou d'éducation au sens de l'art. 219 CP par le TP sera confirmé. L'appel joint du mineur sera partant rejeté.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- 16/21 - P/5078/2021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 En l'espèce, les appelants ne remettent pas en cause les peines fixées au-delà des acquittements plaidés. Le genre de peine fixé par le premier juge, au demeurant acquis aux appelants en vertu de l'interdiction de la reformatio in pejus, est adéquat. Les quotités, 40 jours-amendes pour chacun des prévenus, et les montants, à savoir CHF 80.- l'unité à l'encontre de l'appelant et CHF 50.- de l'appelante, respectent les critères posés par la loi et la jurisprudence, étant précisé que l'évolution positive des appelants est saluée par la Cour et se reflète dans les quotités des peines prononcées, qui se situent dans la fourchette basse de la peine menace. Les sursis, dont les conditions sont réalisées, étant en toute hypothèse également acquis aux appelants, seront aussi confirmés, tout comme les délais d'épreuve. 4. Compte tenu de l'acquittement prononcé du chef de violation du devoir d'assistance ou d'éducation, le plaignant sera débouté de ses conclusions en tort moral, les seules lésions consécutives à sa chute du 22 novembre 2020 n'ayant ni impliqué une importante douleur physique ou morale ni causé une atteinte durable à sa santé.</w:t>
      </w:r>
    </w:p>
    <w:p>
      <w:r>
        <w:rPr>
          <w:b/>
        </w:rPr>
        <w:t>E. 5</w:t>
      </w:r>
    </w:p>
    <w:p>
      <w:r>
        <w:t>avril 2018 consid. 4.2 ; 6B_170/2017 du 19 octobre 2017 consid. 2.2). Ce lien de causalité adéquate est interrompu, l'enchaînement des faits perdant sa portée juridique, si une autre cause concomitante, par exemple le comportement de la victime</w:t>
      </w:r>
    </w:p>
    <w:p>
      <w:r>
        <w:t>- 13/21 - P/5078/2021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amener celui-ci, notamment le comportement de l'auteur (ATF 143 III 242 consid. 3.7 ; 134 IV 255 consid. 4.2.3 et 4.4.2 ; arrêts du Tribunal fédéral 6B_987/2018 du 27 décembre 2018 consid. 1.3.1 ; 6B_735/2018 du 15 novembre 2018 consid. 3.1.1).</w:t>
      </w:r>
    </w:p>
    <w:p>
      <w:r>
        <w:rPr>
          <w:b/>
        </w:rPr>
        <w:t>E. 5.1</w:t>
      </w:r>
    </w:p>
    <w:p>
      <w:r>
        <w:t>Les appelants principaux et l'appelant joint succombent tous trois, de sorte que les frais de la procédure d'appel (art. 428 CPP), qui comprennent un émolument d'arrêt de CHF 1'500.-, seront supportés par les appelants principaux à hauteur d'un tiers chacun</w:t>
      </w:r>
    </w:p>
    <w:p>
      <w:r>
        <w:t>- 17/21 - P/5078/2021 et le solde sera laissé à la charge de l'État, compte tenu de la minorité de l'appelant joint.</w:t>
      </w:r>
    </w:p>
    <w:p>
      <w:r>
        <w:rPr>
          <w:b/>
        </w:rPr>
        <w:t>E. 5.2</w:t>
      </w:r>
    </w:p>
    <w:p>
      <w:r>
        <w:t>Vu l'issue de la procédure d'appel, la répartition des frais de la procédure préliminaire et de première instance ne sera pas revue (art. 428 al. 3 CPP).</w:t>
      </w:r>
    </w:p>
    <w:p>
      <w:r>
        <w:rPr>
          <w:b/>
        </w:rPr>
        <w:t>E. 6.1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w:t>
      </w:r>
    </w:p>
    <w:p>
      <w:r>
        <w:t>6.2.1. Compte tenu de ce qui précède, l'indemnisation, laquelle n'est contestée que dans la mesure de l'acquittement plaidé, telle qu'octroyée à l'appelante par le TP pour la procédure préliminaire et de première instance sera confirmée.</w:t>
      </w:r>
    </w:p>
    <w:p>
      <w:r>
        <w:t>6.2.2. S'agissant de la procédure devant la Cour de céans, une indemnisation réduite de deux tiers lui sera octroyée.</w:t>
      </w:r>
    </w:p>
    <w:p>
      <w:r>
        <w:t>Les honoraires de son conseil seront dès lors admis à hauteur de CHF 1'108.- (CHF 3'324.10 / 2), correspondant à huit heures et 30 minutes d'activité, au tarif horaire de CHF 350.- (CHF 2'975.-), et une vacation à CHF 100.-, plus la TVA à 8.1% (CHF 249.10).</w:t>
      </w:r>
    </w:p>
    <w:p>
      <w:r>
        <w:rPr>
          <w:b/>
        </w:rPr>
        <w:t>E. 7</w:t>
      </w:r>
    </w:p>
    <w:p>
      <w:r>
        <w:t>Considéré globalement, l'état de frais produit par Me C______, défenseur d'office de A______, satisfait les exigences légales et jurisprudentielles régissant l'assistance judiciaire gratuite en matière pénale. Il convient cependant de le compléter de 15 minutes pour tenir compte de la durée effective des débats d'appel.</w:t>
      </w:r>
    </w:p>
    <w:p>
      <w:r>
        <w:t>Sa rémunération sera partant arrêtée à CHF 1'751.20, correspondant à cinq heures et 55 minutes d'activité au tarif de CHF 200.-/heure (CHF 1'183.30), plus la majoration forfaitaire de 20% (CHF 236.70), deux vacations de CHF 100.- chacune (CHF 200.-) et l'équivalent de la TVA au taux de 8.1% en CHF 131.20. * * * * *</w:t>
      </w:r>
    </w:p>
    <w:p>
      <w:r>
        <w:t>- 18/21 - P/5078/2021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