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AARP/428/2024 vom 2. Dezember 2024</w:t>
      </w:r>
    </w:p>
    <w:p>
      <w:r>
        <w:t>GE Cour de justice, 2024-12-02, FR</w:t>
      </w:r>
    </w:p>
    <w:p>
      <w:r>
        <w:rPr>
          <w:b/>
        </w:rPr>
        <w:t xml:space="preserve">Quelle: </w:t>
      </w:r>
      <w:r>
        <w:t>https://mcp.opencaselaw.ch/entscheid/ge_gerichte_AARP_428_2024</w:t>
      </w:r>
    </w:p>
    <w:p>
      <w:r>
        <w:t>FR: GE_GERICHTE AARP/428/2024 du 2 décembre 2024</w:t>
      </w:r>
    </w:p>
    <w:p>
      <w:r>
        <w:t>IT: GE_GERICHTE AARP/428/2024 del 2 dicembre 2024</w:t>
      </w:r>
    </w:p>
    <w:p>
      <w:pPr>
        <w:pStyle w:val="Heading2"/>
      </w:pPr>
      <w:r>
        <w:t>Erwägungen</w:t>
      </w:r>
    </w:p>
    <w:p>
      <w:r>
        <w:rPr>
          <w:b/>
        </w:rPr>
        <w:t>E. 1</w:t>
      </w:r>
    </w:p>
    <w:p>
      <w:r>
        <w:t>Un jugement du TAPEM ordonnant la prolongation d'une mesure thérapeutique institutionnelle est, depuis le 1er janvier 2024, sujet à appel auprès de la Chambre de céans (art. 365 al. 3 du Code de procédure pénale [CPP] et 42 al. 2 de la loi genevoise d'application du code pénal [LaCP]). Interjeté et motivé selon la forme et dans les délais prescrits (art. 398 et 399 CPP), l'appel est recevable.</w:t>
      </w:r>
    </w:p>
    <w:p>
      <w:r>
        <w:rPr>
          <w:b/>
        </w:rPr>
        <w:t>E. 2</w:t>
      </w:r>
    </w:p>
    <w:p>
      <w:r>
        <w:t>2.1.1. Selon l'art. 62 du Code pénal [CP], l'auteur est libéré conditionnellement de l'exécution institutionnelle de la mesure dès que son état justifie de lui donner l'occasion de faire ses preuves en liberté (al. 1). Le délai d’épreuve est d'un an à cinq ans en cas de libération conditionnelle de la mesure prévue à l’art. 59 (al. 2). La personne libérée conditionnellement peut être obligée de se soumettre à un traitement ambulatoire pendant le délai d’épreuve ; l’autorité d’exécution peut ordonner, pour la durée du délai d’épreuve, une assistance de probation et lui imposer des règles de conduite (al. 3). Une libération conditionnelle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arrêts du Tribunal fédéral 6B_690/2022 du 13 juillet 2022 consid. 1.1 ; 6B_660/2019 du 20 août 2019 consid. 5.1). Ce pronostic doit être posé en tenant compte du principe de la proportionnalité (art.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arrêts du Tribunal fédéral 6B_690/2022 précité consid. 1.1 ; 6B_660/2019 précité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w:t>
      </w:r>
    </w:p>
    <w:p>
      <w:r>
        <w:t>- 8/15 - PM/775/2024 privation de liberté déjà subie par l'auteur (ATF 137 IV 201 consid. 1.2 ; arrêt du Tribunal fédéral 6B_690/2022 précité consid. 1.1). 2.1.2.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Si l'auteur a commis une infraction prévue à l'art. 64 al. 1 CP [dont fait partie le brigandage], l'autorité compétente prend une décision sur la base d'une expertise indépendante, après avoir entendu une commission composée de représentants des autorités de poursuite pénale, des autorités d'exécution et des milieux de la psychiatrie (art. 62d al. 2 CP) – à Genève la CED assume ce rôle (art. 4 al. 1 let. a de la loi d'application du code pénal suisse et d'autres lois fédérales en matière pénale [LaCP]).</w:t>
      </w:r>
    </w:p>
    <w:p>
      <w:r>
        <w:rPr>
          <w:b/>
        </w:rPr>
        <w:t>E. 2.2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(ATF 135 IV 139 consid. 2.1 ; arrêts du Tribunal fédéral 6B_129/2023 du 5 mai 2023 consid. 2.1 ; 6B_1247/2022 du 19 janvier 2023 consid. 4.1).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 arrêt du Tribunal fédéral 6B_871/2022 du 15 février 2023 consid. 5.1.3). Par ailleurs, le maintien de la mesure doit permettre de détourner l'auteur de nouveaux crimes et délits en relation avec son trouble (ATF 135 IV 139 consid. 2.3.1 ; arrêt du Tribunal fédéral 6B_871/2022 du 15 février 2023 consid. 5.1.3). La prolongation de la mesure thérapeutique institutionnelle doit avoir</w:t>
      </w:r>
    </w:p>
    <w:p>
      <w:r>
        <w:t>- 9/15 - PM/775/2024 un impact thérapeutique dynamique sur l'auteur et ainsi être susceptible d'engendrer une amélioration du pronostic légal (ATF 134 IV 315 consid. 3.6 ; arrêt du Tribunal fédéral 6B_871/2022 précité consid. 5.1.3). Il s'ensuit que, pour qu'une mesure thérapeutique institutionnelle puisse être maintenue, c'est le traitement médical, non la privation de liberté qui lui est associée, qui doit conserver une chance de succès du point de vue de la prévention spéciale (ATF 137 IV 201 consid. 1.3 ; arrêts du Tribunal fédéral 6B_690/2022 du 13 juillet 2022 consid. 2.1 ; 6B_1051/2020 du 24 septembre 2021 consid. 4.1). Le principe de la proportionnalité doit s'appliquer non seulement en ce qui concerne le prononcé ordonnant la prolongation de la mesure, mais également en ce qui concerne sa durée (arrêt du Tribunal fédéral 6B_871/2022 précité consid. 5.1.4). 2.3.1. À teneur de l'expertise psychiatrique rendue en 2019, l'appelant souffre de schizophrénie paranoïde, pathologie chronique de sévérité importante, couplée à une poly-toxicodépendance, de sévérité importante également. Ses troubles l'ont conduit à commettre des infractions pénales d'une gravité certaine puisque constitutives pour les principales de tentatives de brigandage. Le risque de récidive est considéré comme moyen dans le cadre d'un suivi médical sans rupture thérapeutique, mais comme élevé, voire très élevé, en l'absence d'un tel suivi. Les experts ont expliqué qu'une telle pathologie nécessitait un traitement à (très) long terme, si ce n'est à vie. Depuis cette expertise, l'appelant a évolué favorablement. Mieux, depuis son placement au H______, en 2022, son comportement est qualifié d'"exemplaire". Il a à cœur de faire "tout juste", tant dans l'implication thérapeutique, l'abstinence aux toxiques que dans la participation aux activités du H______. Grâce aux efforts consentis, il a connu des ouvertures progressives du cadre de la mesure, franchissant avec succès les différentes étapes du plan d'exécution, ce qui lui permet de gagner graduellement en indépendance. Il appert néanmoins, aux dires des intervenants, que sa stabilité psychique demeure fragile, qu'il est particulièrement sensible aux changements et aux facteurs de stress, que la médication doit parfois être adaptée et qu'il peut présenter des troubles de l'humeur avec une recrudescence des symptômes pathologiques/psychotiques, son état s'étant par exemple péjoré en octobre 2023 et en avril 2024. Ce constat incite à la prudence. Il faut concéder à l'appelant que le SAPEM ne se prononce pas expressément, dans son préavis du 18 juillet 2024, sur sa dangerosité, partant sur le risque de récidive actuel, pas plus que ne le font les documents produits à l'appui de la demande d'examen d'ailleurs. Cela étant, les rapports des praticiens fournissent les éléments d'appréciation médicaux utiles à l'évaluation de la dangerosité. Or il en découle que</w:t>
      </w:r>
    </w:p>
    <w:p>
      <w:r>
        <w:t>- 10/15 - PM/775/2024 le pronostic ne saurait être considéré comme favorable en l'état dans le cadre d'une libération conditionnelle, pour les motifs développés précédemment. L'état psychique de l'appelant n'est pas suffisamment stable pour éliminer voire réduire dans une mesure suffisante le risque de nouvelle infraction. Même en cas de suivi médical, ce risque est qualifié de moyen par les experts, ce qui suffit, lorsque sont à craindre, comme ici, des infractions contre l'intégrité corporelle, voire la vie, à priver l'appelant de l'occasion de faire ses preuves en liberté. La nécessité de poursuivre la mesure actuelle, mise en avant par tous les intervenants, induit l'absence de pronostic favorable. Contrairement à ce qu'avance l'appelant, si le SAPEM assurait ne pas douter de l'absence de dangerosité dans ses décisions précédentes, celle-ci n'avait pas trait à la libération conditionnelle mais aux allégements dont l'octroi entrait alors en considération (congés, vélo), dangerosité sur laquelle le SAPEM était en mesure de se prononcer de manière catégorique (art. 75a al. 1 let. b CP). Il n'appert pas, en cas de libération conditionnelle, que le risque de récidive puisse être réduit par l'octroi d'un délai d'épreuve et la mise en place de mesures d'accompagnement (art. 62 al. 2 et 3 CP). Les thérapeutes ne font nullement état de ce qu'un suivi ambulatoire, par hypothèse, accompagné d'une assistance de probation et de contrôles réguliers apparaîtrait opportun ou suffisant pour pallier le risque de récidive à ce stade. Le respect des étapes progressives prévues par le plan d'exécution demeure nécessaire pour préparer l'appelant à plus de libertés. Dans ces conditions, il faut retenir qu'une libération conditionnelle de la mesure n'est pas envisageable dans l'immédiat. C'est le lieu de préciser que ni une (nouvelle) expertise indépendante ni un préavis de la CED (art. 62d al. 2 CP) ne sont nécessaires pour statuer in casu. Ils ne le seraient, comme verrous de sécurité supplémentaires, que si la libération conditionnelle était envisagée, afin de mieux garantir la sécurité publique (arrêt du Tribunal fédéral 6B_785/2020 du 11 novembre 2020 consid. 2.3). 2.3.2. Les conditions de la libération conditionnelle n'étant pas remplies, il convient d'examiner la seconde condition de l'art. 59 al. 4 CP, à savoir s'il est à prévoir que le maintien de la mesure détournera l'appelant de nouveaux crimes ou délits en relation avec son trouble mental.</w:t>
      </w:r>
    </w:p>
    <w:p>
      <w:r>
        <w:t>- 11/15 - PM/775/2024 L'appelant bénéficie du cadre nécessaire et adéquat à sa pathologie psychiatrique au sein du H______. Les professionnels s'accordent sur le fait que la mesure thérapeutique en milieu institutionnel s'impose toujours. L'appelant lui-même se dit prêt à se soumettre au suivi actuel "sur une base volontaire". L'ambivalence de ses propos à ce sujet, lequel conclut à une libération conditionnelle tout en demandant à pouvoir rester au H______, doit sans doute être mise en lien avec son trouble. Il n'en reste pas moins qu'il est conscient de sa condition et semble avoir intégré qu'elle nécessitera encore des soins, en ce lieu précisément. Il n'est au demeurant pas prêt pour du résidentiel hors-murs, selon les intervenants. Il y a tout lieu de penser que la poursuite de la mesure permettra à l'appelant de se réinsérer progressivement dans la société, grâce aux prochains élargissements de cadre prévus. Le souhait de pouvoir rendre visite à son père semble réalisable dans le cadre de l'ouverture progressive du PES. Sous l'angle du principe de la proportionnalité, l'appelant est certes privé de liberté depuis cinq ans. Mais l'atteinte aux droits de la personnalité résultant de la poursuite du traitement, en milieu ouvert, n'apparait pas démesurée au regard de la vraisemblance que l'appelant commette de nouvelles infractions, contre l'intégrité corporelle notamment. En conclusion, le traitement médical actuel conserve une chance de succès du point de vue de la prévention spéciale. Le maintien de la mesure est propre à détourner l'appelant de nouveaux crimes ou délits en relation avec son trouble mental. Aussi, bien que le terme de cinq ans prévu à l'art. 59 al. 4 CP soit atteint, il convient de reconduire la mesure. 2.3.3. Autre est la question de la durée de cette reconduction. Le TAPEM a fixé celle-ci à trois ans, sans motivation. Ni les praticiens ni l'établissement ne se prononcent sur cette durée. Seul le SMI mentionne que le cadre actuel devrait être maintenu sur le long terme – ce que retenait déjà l'expertise psychiatrique de 2019, qui parlait d'un traitement à très long terme, voire à vie, le trouble de l'appelant se voulant chronique. Quant au compte-rendu de réseau, il souligne qu'il est très compliqué de se prononcer sur l'avenir, en particulier sur la gestion autonome du traitement médicamenteux et la consommation de toxiques hors du cadre pénal. La mesure institutionnelle ne saurait être prolongée indéfiniment. Au vu de l'ouverture du cadre dont a déjà bénéficié l'appelant, on ne peut exclure que les prochaines étapes du PES soient atteintes/passées relativement rapidement.</w:t>
      </w:r>
    </w:p>
    <w:p>
      <w:r>
        <w:t>- 12/15 - PM/775/2024 Aussi, compte tenu des progrès accomplis et de la bonne volonté, remarquée, affichée par l'appelant, d'une part, et de la chronicité du trouble mental, d'autre part, mais aussi de la difficulté de parier sur l'avenir et en l'absence de durée quantifiée par l'un ou l'autre praticien, une prolongation de deux ans apparait adéquate à l'aune du principe de proportionnalité. Le jugement querellé sera modifié en ce sens.</w:t>
      </w:r>
    </w:p>
    <w:p>
      <w:r>
        <w:rPr>
          <w:b/>
        </w:rPr>
        <w:t>E. 3</w:t>
      </w:r>
    </w:p>
    <w:p>
      <w:r>
        <w:t>L'appelant succombe sur le principe mais voit sa situation améliorée par la limitation de la durée de la mesure. Il ne supportera par conséquent que la moitié des frais de la procédure de seconde instance, y compris un émolument de jugement de CHF 1'000.- (art. 428 al. 1 CPP).</w:t>
      </w:r>
    </w:p>
    <w:p>
      <w:r>
        <w:rPr>
          <w:b/>
        </w:rPr>
        <w:t>E. 4.1</w:t>
      </w:r>
    </w:p>
    <w:p>
      <w:r>
        <w:t>Selon l'art. 135 al. 1 CPP, le défenseur d'office est indemnisé conformément au tarif des avocats de la Confédération ou du canton du for du procès. S'agissant d'une affaire soumise à la juridiction cantonale genevoise, le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(VALTICOS/REISER /CHAPPUIS/BOHNET (éds), Commentaire romand, Loi sur les avocats : commentaire de la loi fédérale sur la libre circulation des avocats (Loi sur les avocats, LLCA), 2ème éd. Bâle 2022, n. 257 ad art. 12).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déposé par Me B______, défenseur d'office de A______, ne peut être avalisé tel quel. Il n'y a pas lieu d'indemniser d'activité en lien avec la réception du jugement de première instance, la convocation aux débats, la rédaction de l'annonce et celle de la déclaration d'appel, lesquelles sont couvertes par le forfait, ni le classement et la reconstitution du dossier ou encore la préparation du bordereau et de l'état de frais, qui relèvent d'une activité de secrétariat. De même, les vacations en vue du dépôt d'écritures ou de courriers au greffe ne donnent pas lieu à indemnisation, un envoi postal suffisant à répondre aux exigences légales. Enfin, le</w:t>
      </w:r>
    </w:p>
    <w:p>
      <w:r>
        <w:t>- 13/15 - PM/775/2024 temps de préparation de l'audience d'appel en huit heures et 30 minutes pour la collaboratrice et 40 minutes pour le chef d'étude apparait excessif au vu de la durée prévue et effective de l'audience et de la difficulté relative du cas ; il sera ramené à quatre heures pour la collaboratrice et à 30 minutes pour le chef d'étude.</w:t>
      </w:r>
    </w:p>
    <w:p>
      <w:r>
        <w:t>En conclusion, la rémunération sera arrêtée à CHF 1'832.30 correspondant à 30 minutes d'activité au tarif de CHF 200.-/heure et à huit heures et 45 minutes au tarif de CHF 150.-/heure, plus la majoration forfaitaire de 20%, deux déplacements à CHF 75.- et l'équivalent de la TVA au taux de 8.1% en CHF 137.30. * * * * *</w:t>
      </w:r>
    </w:p>
    <w:p>
      <w:r>
        <w:t>- 14/15 - PM/775/2024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