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AARP/428/2015 vom 5. Juni 2015</w:t>
      </w:r>
    </w:p>
    <w:p>
      <w:r>
        <w:t>GE Cour de justice, 2015-06-05, FR</w:t>
      </w:r>
    </w:p>
    <w:p>
      <w:r>
        <w:rPr>
          <w:b/>
        </w:rPr>
        <w:t xml:space="preserve">Quelle: </w:t>
      </w:r>
      <w:r>
        <w:t>https://mcp.opencaselaw.ch/entscheid/ge_gerichte_AARP_428_2015</w:t>
      </w:r>
    </w:p>
    <w:p>
      <w:r>
        <w:t>FR: GE_GERICHTE AARP/428/2015 du 5 juin 2015</w:t>
      </w:r>
    </w:p>
    <w:p>
      <w:r>
        <w:t>IT: GE_GERICHTE AARP/428/2015 del 5 giugno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Il n'y a par conséquent pas lieu de revenir sur le verdict de culpabilité, qui n'est pas contesté et qui est, au demeurant, conformes aux éléments du dossier.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2.1.2. Bien que la récidive ne constitue plus un motif d'aggravation obligatoire de la peine (art. 67 aCP), les antécédents continuent de jouer un rôle très important dans la fixation de celle-ci (M. NIGGLI / H. WIPRÄCHTIGER, Basler Kommentar</w:t>
      </w:r>
    </w:p>
    <w:p>
      <w:r>
        <w:t>- 11/17 - P/12672/2014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2.1.4. D'après l'art. 49 al. 1 CP, si, en raison d'un ou de plusieurs actes, l'auteur remplit les conditions de plusieurs peines de même genre, le juge le condamne à la peine de l'infraction la plus grave et l'augmente dans une juste proportion. 2.2.1. En l'espèce et comme l'a retenu le Tribunal correctionnel, la culpabilité des intimés est importante. Ils s'en sont pris sans scrupules au patrimoine d'autrui et en agissant comme des professionnels pour accroître leur efficacité, en logeant dans un hôtel à proximité de Genève et en utilisant un véhicule pour se déplacer d'un pays à l'autre, en effectuant des repérages, en s'habillant comme les touristes supposés fortunés ou les hommes d'affaires qu'ils cherchaient à dépouiller et en ayant des rôles interchangeables, l'un ou l'autre comparse se chargeant de distraire une victime pendant que d'autres lui subtilisaient ses biens. Leur seul objectif en venant à Genève était de commettre des vols ; leur activité illégale s'est étendue sans relâche sur une période conséquente - soit neuf mois et demi pour A______ et E______ et quatre mois pour C______ - et la multiplicité des actes commis parfois sur un laps de temps</w:t>
      </w:r>
    </w:p>
    <w:p>
      <w:r>
        <w:t>- 12/17 - P/12672/2014 très court dénotent une forte volonté délictuelle, corroborée par l'absence d'impact des précédentes condamnations prononcées contre chacun d'entre eux. Seule leur arrestation a mis fin à leurs agissements illicites. Le montant du préjudice a été important et les intimés ont agi par pur appât du gain. Il y a concours d'infractions entre le vol commis en bande, voire encore par métier pour deux intimés, et l'infraction à la LEtr, ce qui constitue un facteur aggravant la peine. Leur collaboration a été très moyenne, les intimés n'admettant le plus souvent les faits que lorsqu'ils ne pouvaient nier l'évidence. Leur prise de conscience est très faible au vu de leurs antécédents, sans compter leur absence d'empathie réelle à l'égard des victimes, qui se sont parfois retrouvées démunies dans un pays étranger dont elles ne partageaient ni la culture, ni les coutumes. Les trois intimés bénéficiaient de certains soutiens familiaux et d'une grande mobilité, de sorte qu'ils auraient pu trouver d'autres solutions que l'obtention de gains faciles par la commission d'infractions. Ainsi, leur liberté de vouloir se consacrer à des activités illégales apparait entière, ce qui constitue un facteur aggravant de leur faute. 2.2.2. Aux yeux de la Chambre de céans, le tribunal de première instance a procédé à une saine appréciation de la culpabilité de chaque prévenu en considérant qu'il n'existait aucune circonstance personnelle de nature à atténuer la peine d'un des intimés et que seuls des facteurs aggravants pouvaient être relevés. La différence dans la fixation de la quotité de la peine pour chaque intimé a uniquement résulté de ce que, pour C______, seule la circonstance aggravante de la bande a été retenue et que, dans le cas d'E______, il a dû être tenu compte d'un jugement rendu en Italie en novembre 2013 par le prononcé d'une peine partiellement complémentaire. Les projets d'avenir présentés par les trois intimés sont très vagues et peu crédibles ; il y a ainsi lieu de craindre qu'ils ne persistent dans la voie de la délinquance, surtout qu'ils n'ont pas fait preuve d'un réel amendement. Dans ces circonstances et compte tenu de la peine-menace qu'encourent les trois intimés, les peines privatives de liberté fixées par les premiers juges sont manifestement trop clémentes. Il convient d'admettre l'appel du Ministère public et d'arrêter à trois ans la peine à infliger à A______, qui a commis le plus grand nombre de vols, et à deux ans et six mois la peine à infliger à C______ et E______, le prononcé d'une peine identique à l'encontre de ces derniers se justifiant par le fait que, même si la circonstance aggravante du métier n'a pas été retenue pour C______, il a davantage d'antécédents spécifiques, E______ ayant, pour sa part, récidivé dès sa sortie de prison.</w:t>
      </w:r>
    </w:p>
    <w:p>
      <w:r>
        <w:rPr>
          <w:b/>
        </w:rPr>
        <w:t>E. 3</w:t>
      </w:r>
    </w:p>
    <w:p>
      <w:r>
        <w:t>Les intimés, qui succombent, supporteront, à raison d'un tiers chacun, les frais de la procédure envers l'État (art. 428 CPP).</w:t>
      </w:r>
    </w:p>
    <w:p>
      <w:r>
        <w:t>- 13/17 - P/12672/2014</w:t>
      </w:r>
    </w:p>
    <w:p>
      <w:r>
        <w:rPr>
          <w:b/>
        </w:rPr>
        <w:t>E. 4</w:t>
      </w:r>
    </w:p>
    <w:p>
      <w:r>
        <w:t>4.1.1.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suivant, débours de l'étude inclus : avocat stagiaire CHF 65.- (let. a) ; collaborateur CHF 125.- (let. b) ; chef d'étude CHF 200.- (let. c), la TVA étant versée en sus si l'intéressé y est assujetti. 4.1.2. Reprenant l'activité de taxation suite à l'entrée en vigueur du CPP, la Chambre de céans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juridiction d'appel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Chambre de céans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t>- 14/17 - P/12672/2014</w:t>
      </w:r>
    </w:p>
    <w:p>
      <w:r>
        <w:rPr>
          <w:b/>
        </w:rPr>
        <w:t>E. 4.2</w:t>
      </w:r>
    </w:p>
    <w:p>
      <w:r>
        <w:t>En l'occurrence, sous réserve du forfait qui doit être fixé à 10 % compte tenu de l'activité déjà facturée en première instance, les états de frais produits par les défenseurs d'office des trois intimées, considérés dans leur globalité, paraissent adéquats et conformes aux principes qui précèdent, de sorte qu'il n'est pas nécessaire de reprendre le détail des postes qui les composent. Il convient d'y ajouter la durée de l'audience d'appel, soit une heure et trente minutes. Aussi, l'indemnité requise par le conseil de A______ à hauteur de CHF 2'310.-, correspondant à 10 heures et 30 minutes d'activité au tarif de CHF 200.-/heure plus la majoration forfaitaire de 10 %, sans TVA à défaut d'assujettissement, sera-t-elle allouée. Il en ira de même de celle sollicitée par le conseil de C______, sous réserve des 30 minutes consacrées à la lecture du jugement qui est comprise dans le forfait pour l'activité diverse, de sorte que l'indemnité sera accordée à hauteur de CHF 1'000.-, correspondant à 14 heures d'activité au tarif horaire de CHF 65.-, plus la majoration forfaitaire de 10 %, à nouveau sans TVA. Enfin, l'indemnité requise par le conseil d'E______ comporte au total 13 heures et 30 minutes d'activité (2 x 6 heures, audience d'appel non comprise) au tarif de CHF 65.- /heure, ce qui correspond à CHF 877.50, montant auquel s'ajoutent la majoration forfaitaire de 10 % (CHF 87.75), les frais d'interprète (CHF 300.-) et la TVA au taux de 8% (CHF 101.25), de sorte qu'elle sera arrêtée à CHF 1'366.50. Le dispositif de l'arrêt sera rectifié sur ce point en application de l'art. 83 al. 1 CPP. * * * * *</w:t>
      </w:r>
    </w:p>
    <w:p>
      <w:r>
        <w:t>- 15/17 - P/12672/2014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