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AARP/426/2019 vom 11. Dezember 2019</w:t>
      </w:r>
    </w:p>
    <w:p>
      <w:r>
        <w:t>GE Cour de justice, 2019-12-11, FR</w:t>
      </w:r>
    </w:p>
    <w:p>
      <w:r>
        <w:rPr>
          <w:b/>
        </w:rPr>
        <w:t xml:space="preserve">Quelle: </w:t>
      </w:r>
      <w:r>
        <w:t>https://mcp.opencaselaw.ch/entscheid/ge_gerichte_AARP_426_2019</w:t>
      </w:r>
    </w:p>
    <w:p>
      <w:r>
        <w:t>FR: GE_GERICHTE AARP/426/2019 du 11 décembre 2019</w:t>
      </w:r>
    </w:p>
    <w:p>
      <w:r>
        <w:t>IT: GE_GERICHTE AARP/426/2019 del 11 dicembre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(ATF 144 IV 345 consid. 2.2.3.3 ; 138 V 74 consid. 7; 127 I 38 consid. 2a).</w:t>
      </w:r>
    </w:p>
    <w:p>
      <w:r>
        <w:rPr>
          <w:b/>
        </w:rPr>
        <w:t>E. 2.2</w:t>
      </w:r>
    </w:p>
    <w:p>
      <w:r>
        <w:t>L'existence d'une reformatio in pejus doit être examinée à l'aune du dispositif (ATF 142 IV 129 consid. 4.5 p. 136 ; ATF 141 IV 132 consid. 2.7.3 p. 140 ; ATF</w:t>
      </w:r>
    </w:p>
    <w:p>
      <w:r>
        <w:t>- 15/33 - P/1813/2017 139 IV 282 consid. 2.6 p. 289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 ATF 141 IV 132 consid. 2.7.3 p. 140 ; ATF 139 IV 282 consid. 2.6 ; arrêt du Tribunal fédéral 6B_69/2016 du 29 septembre 2016 consid. 2.2.1). Une restriction liée à la prohibition de la reformatio in pejus ne se justifie pas lorsque, pris dans son ensemble, le nouveau jugement n'aggrave pas le sort du condamné (cf. ATF 117 IV 97 consid. 4c p. 106 ; arrêts du Tribunal fédéral 6B_440/2016 du 8 novembre 2017 consid. 3.1.1 destiné à publication ; 6B_69/2016 du 29 septembre 2016 consid. 2.2.1).</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2.3.2</w:t>
      </w:r>
    </w:p>
    <w:p>
      <w:r>
        <w:t>p. 156). Il faut donc qu'il existe un risque qu'un dommage puisse résulter de</w:t>
      </w:r>
    </w:p>
    <w:p>
      <w:r>
        <w:t>- 17/33 - P/1813/2017 l'infraction, mais encore que l'auteur sache que ce danger existe et qu'il s'accommode de ce résultat, même s'il préfère l'éviter (arrêts du Tribunal fédéral 6B_246/2012 du 10 juillet 2012 consid. 1.1.1 ; 6B_275/2011 du 7 juin 2011 consid. 5.1 ; 6B_741/2010 du 9 novembre 2010 consid. 2.1.1).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3.1.6. La nature de la lésion pas plus que sa qualification d'un point de vue objectif ne sont pertinentes pour juger si l'auteur s'est rendu coupable de tentative de lésions corporelles graves (cf. arrêt du Tribunal fédéral 6B_246/2012 du 10 juillet 2012 consid. 1.3). En effet, celle-ci peut être réalisée alors même que les éléments objectifs de l'infraction font défaut. 3.1.7. La qualification juridique des lésions corporelles ou des décès consécutifs à des coups de poing dépend des circonstances concrètes du cas. Sont en particulier déterminantes la violence du coup et la constitution de la victime. Le Tribunal fédéral a confirmé des verdicts de culpabilité du chef de lésions corporelles graves par dol éventuel, éventuellement en concours avec l'infraction d'homicide par négligence, en cas de coups violents donnés au visage avec pour conséquence des lésions corporelles graves ou le décès de la victime (arrêts du Tribunal fédéral 6B_802/2013 du 27 janvier 2014 consid. 2.3.3 [victime décédée à la suite d'un coup avec le bras l'ayant fait tomber sur l'asphalte] ; 6B_388/2012 du 12 novembre 2012 consid. 2.1.1 et 2.4 [victime sérieusement blessée à la suite d'un violent coup de poing reçu au visage et l'ayant fait tomber en arrière sur l'asphalte] ; 6B_758/2010 du</w:t>
      </w:r>
    </w:p>
    <w:p>
      <w:r>
        <w:rPr>
          <w:b/>
        </w:rPr>
        <w:t>E. 3</w:t>
      </w:r>
    </w:p>
    <w:p>
      <w:r>
        <w:t>3.1.1. Se rend coupable de lésions corporelles graves celui qui aura blessé une personne de façon à mettre sa vie en danger, un de ses membres ou un de ses organes importants ou lui aura fait subir toute autre atteinte grave à l’intégrité corporelle ou à la santé physique (art. 122 CP). 3.1.2. Dans le cas des lésions corporelles graves, prévues et punies par l'art. 122 CP,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de celles de l'art. 123 CP (lésions corporelles simples). L'art. 122 CP énumère diverses hypothèses dans lesquelles les lésions corporelles graves doivent être retenues (al.1 [mise en danger de la personne blessée] et al. 2 [celui qui aura mutilé le corps d'une personne, un de ses membres ou un de ses organes importants ou celui qui aura causé à une personne une incapacité de travail, une infirmité ou une maladie mentale permanentes, ou aura défiguré une personne</w:t>
      </w:r>
    </w:p>
    <w:p>
      <w:r>
        <w:t>- 16/33 - P/1813/2017 d'une façon grave et permanente]), avant d'énoncer une clause générale (al. 3). Celle- 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et 6B_26/2011 du 20 juin 2011 consid. 2.4.1). S'agissant de l'incapacité de travail, la jurisprudence n'exige pas que celle-là soit complète, ni que l'invalidité ait un caractère permanent (cf. arrêt du Tribunal fédéral 6P_54/2002 du 22 novembre 2002 consid. 2.1.1). Des lésions corporelles peuvent être qualifiées de graves alors même qu'elles ne sont pas la cause d'une incapacité de travail complète ou permanente (arrêt du Tribunal fédéral 6B_373/2016 du 12 septembre 2016 consid. 2.2 = SJ 2017 I 22). 3.1.3. L'art. 123 CP réprime les lésions du corps humain ou de la santé qui ne peuvent être qualifiées de graves au sens de l'art. 122 CP. À titre d'exemples, la jurisprudence cite les blessures, les meurtrissures ou les écorchures, sauf si ces lésions n'ont pas d'autres conséquences qu'un trouble passager et sans importance du sentiment de bien-être (ATF 134 IV 189 consid. 1.1. p. 191 ; ATF 107 IV 40 consid. 5c p. 42 ; ATF 103 IV 65 consid. 2c p. 70). 3.1.4. Il y a tentative lorsque l'auteur a réalisé tous les éléments subjectifs de l'infraction et manifesté sa décision de la commettre, alors que les éléments objectifs font, en tout ou en partie, défaut (ATF 140 IV 150 consid. 3.4 p. 152). La jurisprudence a affirmé à plusieurs reprises que l'équivalence des deux formes de dol - direct et éventuel - s'appliquait également à la tentative (ATF 122 IV 246 consid. 3a; 120 IV 17 consid. 2c ; arrêt du Tribunal fédéral 6B_924/2017 du 14 mars 2018 consid. 1.1.3). 3.1.5. Le dol éventuel doit être retenu lorsque l'auteur tient pour possible la réalisation de l'infraction et l'accepte au cas où celle-ci se produirait, même s'il ne le souhaite pas (art. 12 al. 2 CP ; ATF 137 IV 1 consid. 4.2.3 p. 4 ; 135 IV 152 consid.</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(ATF 135 IV 152 consid. 2.3.1 p. 155 ; 130 IV 58 consid. 9.2.1; 125 IV 134 consid. 3a).</w:t>
      </w:r>
    </w:p>
    <w:p>
      <w:r>
        <w:t>- 19/33 - P/1813/2017</w:t>
      </w:r>
    </w:p>
    <w:p>
      <w:r>
        <w:rPr>
          <w:b/>
        </w:rPr>
        <w:t>E. 3.3</w:t>
      </w:r>
    </w:p>
    <w:p>
      <w:r>
        <w:t>En l'espèce, la CPAR considère comme établi, sur la base des éléments de la procédure, que l'appelant a, vers 5h30 le 22 janvier 2017, devant un commerce à la U____, abordé l'intimé, alors en train d'attendre pour passer commande. L'appelant ne l'ayant pas contesté, il sera retenu qu'il a collé son front contre celui de l'intimé, tel que ce dernier l'a rapporté. Selon l'appelant, plutôt que de répondre à sa question de savoir s'il se souvenait de lui, l'intimé lui aurait donné un coup de poing au visage ou sur la tempe, lui causant un hématome, ce qu'a contesté l'intimé. Il convient de relever, selon les dires conjoints des parties, que l'appelant était accompagné de deux ou trois amis à tout le moins, tandis que la victime était seule. En infériorité numérique, elle n'avait en sus aucune raison d'attaquer l'appelant, ce qui s'avérait hautement risqué dans une telle configuration. L'intimé a de plus systématiquement indiqué, même s'il se souvenait d'un incident antérieur au sujet d'un téléphone, qu'il ne connaissait pas l'appelant, ce qui est corroboré par les recherches effectuées par ses amis pour retrouver son agresseur. La victime a été décrite comme quelqu'un de calme, même si la valeur probante de tels témoignages doit être relativisée vu les liens d'amitié. En tous les cas, à teneur de dossier, la partie plaignante n'a aucun antécédent de violences. Au vu de ces éléments, les déclarations de l'appelant, certes constantes sur ce point, paraissent peu crédibles s'agissant d'avoir été attaqué en premier par le plaignant, ce qui aurait entrainé une réaction de défense de sa part. Sur la suite des évènements, le prévenu ayant reconnu être à l'origine des lésions causées à l'intimé, les versions des deux protagonistes divergent principalement sur la question de savoir si la victime a reçu des coups, en particulier de la part de l'appelant, après avoir chuté au sol, étant relevé que celui-ci a reconnu qu'elle était par terre, à savoir ne s'était pas encore relevée, au moment où il avait quitté les lieux. Les explications de l'appelant s'agissant du nombre de coups donnés et de leur nature ont varié à plusieurs reprises. La quantité de coups de poing est en effet passée de "deux ou trois" devant le MP jusqu'à "quatre, cinq" au TCO. Il a par ailleurs fermement nié avoir donné des coups de pieds jusqu'à l'audience d'appel, lors de laquelle il a finalement affirmé en avoir peut être donné un, sans dire ce qu'il a visé. La CPAR retient ainsi que les lésions, en particulier les fractures déplacées des planchers d'orbites et les importantes tuméfactions constatées par les médecins et visibles sur les photographie, ont été causées par plusieurs violents coups de poing assénés par l'appelant. Ce dernier a visé de ses poings la tête du plaignant, en particulier son visage qui est un endroit du corps hautement vulnérable puisqu'abritant le cerveau, les yeux étant par ailleurs hautement exposés. Ces derniers ont été in casu particulièrement touchés au point que d'importants hématomes les empêchaient de s'ouvrir. Même si, par</w:t>
      </w:r>
    </w:p>
    <w:p>
      <w:r>
        <w:t>- 20/33 - P/1813/2017 chance, le plaignant n'a subi en définitive que des lésions corporelles ne lui laissant pas d'importantes séquelles, les quatre violents coups de poing étaient, même pris isolément, de nature à causer des lésions corporelles graves, éventualité que l'appelant avait parfaitement envisagée et acceptée. Il ne pouvait en effet ignorer que des coups portés aussi violemment au visage d'une personne pouvait entraîner des blessures graves. Le fait que l'appelant soit parti après son geste, sans s'enquérir de l'état de santé de sa victime, constitue un indice supplémentaire qu'il avait envisagé les conséquences possibles de son acte et les avait acceptées pour le cas où elles se produiraient. Qu'il ait agi seul et/ou comme co-auteur, sa responsabilité dans ce déferlement de coups demeure la même. Partant, sa culpabilité du chef de tentative de lésions corporelles graves sera confirmée et son appel rejeté sur ce point.</w:t>
      </w:r>
    </w:p>
    <w:p>
      <w:r>
        <w:rPr>
          <w:b/>
        </w:rPr>
        <w:t>E. 4</w:t>
      </w:r>
    </w:p>
    <w:p>
      <w:r>
        <w:t>avril 2011 consid. 4.1 et 4.4.2 [coup de poing fatal au visage] ; voir aussi AARP/155/2017 du 10 mai 2017 consid. 3.5.1 et 3.5.2 dans un cas similaire). Des coups de poing moins violents ont par contre été qualifiés de lésions corporelles simples (ATF 119 IV 25 ; arrêt du Tribunal fédéral 6B_151/2011 du 20 juin 2011). Le Tribunal fédéral a, par ailleurs, requalifié une tentative de meurtre en tentative de lésions corporelles graves dans le cas de trois jeunes hommes qui avaient passé à tabac, sans aucune raison, deux personnes dans un passage souterrain d'une gare, au motif que les protagonistes n'avaient aucune raison de tuer ces personnes (arrêt 6B_1250/2013 du 24 avril 2015 consid. 3.2.) ; un tel verdict se justifiait aussi dans le cas d'un cycliste ayant reçu un coup de batte de base-ball à la tête, ayant provoqué sa chute (arrêt du Tribunal fédéral 6B_612/2013 du 8 novembre 2013 consid. 1.2 et 1.3). La CPAR a par ailleurs retenu des lésions corporelles graves dans le cas d'un seul coup de poing asséné à la victime, ayant conduit à la nécessité d'une prise en</w:t>
      </w:r>
    </w:p>
    <w:p>
      <w:r>
        <w:t>- 18/33 - P/1813/2017 charge chirurgicale en urgence et entrainé une réduction visuelle importante (AARP/108/2017 du 3 avril 2017 consid. 2.5). Nul n'est censé ignorer que les coups portés avec violence au visage sont notoirement de nature à causer des lésions corporelles graves, soit de défigurer la victime en lui occasionnant des fractures du massif facial, voire de provoquer des lésions intracrâniennes et cérébrales, de mutiler ses organes au point de risquer de conduire à sa cécité ("perte définitive d'un membre ou organe", ATF 129 IV 1 consid. 3.2 cité par M. DUPUIS / L. MOREILLON / C. PIGUET / S. BERGER / M. MAZOU / V. RODIGARI [éds], Code pénal - Petit commentaire, 2e éd., Bâle 2017, n. 11 ad art. 122) ou de causer une baisse considérable de sa vue ("sévère dégradation ou une atteinte durable et irréversible d'un membre ou organe mettant en cause son fonctionnement nécessaire", ibidem).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 AARP/165/2019 du 13 mai 2019 consid. 3.2).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La question de savoir si les coups ont ou non été portés en rafale, ou s'il y en a eu qu'un seul, n'est nullement déterminante dans la mesure où, si tel a été le cas, leur auteur a manifestement fait preuve d'acharnement, alors que, dans le cas inverse, il aurait été à même de mesurer l'impact de chacun de ses coups et donc de constater que la victime n'était aucunement en mesure de se défendre ou de résister (AARP/548/2015 du 18 juin 2015 consid. 2.2.1). 3.1.8.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w:t>
      </w:r>
    </w:p>
    <w:p>
      <w:r>
        <w:rPr>
          <w:b/>
        </w:rPr>
        <w:t>E. 4.1</w:t>
      </w:r>
    </w:p>
    <w:p>
      <w:r>
        <w:t>Au sens de l'art. 19 al. 1 let. b, c et d LStup, est punissable celui qui, sans droit, possède, détient ou acquiert des stupéfiants, en entrepose et en aliène.</w:t>
      </w:r>
    </w:p>
    <w:p>
      <w:r>
        <w:rPr>
          <w:b/>
        </w:rPr>
        <w:t>E. 4.2</w:t>
      </w:r>
    </w:p>
    <w:p>
      <w:r>
        <w:t>L'appelant a de manière constante contesté les accusations relatives à la violation de la LStup portées à son encontre. E______ l'a toutefois formellement mis en cause pour la vente de 1 kg de haschich en juillet 2017, tant devant la police que le MP, détails à l'appui tels son adresse et l'étage de son appartement ou le lieu probable où se déroulaient dans le passé les transactions de drogue. Il ne s'est rétracté que lors de sa troisième audition, coïncidant avec sa confrontation avec le prévenu. Il a certes allégué avoir subi une pression de la part de la police, ce qui est contredit par l'absence de toute doléance à cet égard le lendemain devant le MP auquel il a confirmé la mise en cause du prévenu. Ses explications subséquentes liées à la crainte d'une expulsion n'expliquent pas en quoi il aurait dénoncé la mauvaise personne pour se tirer d'affaire. Après avoir mis hors de cause l'appelant, E______ n'a pu donner aucune information permettant d'identifier son fournisseur, la thèse du papier comportant son numéro de téléphone jeté à sa sortie de prison n'emportant pas conviction. Ainsi les déclarations initiales de E______ jouissent-elles d'une meilleure crédibilité que sa rétraction subséquente qui s'explique aisément par la difficulté à accuser son fournisseur, avec lequel il a dit être en amitié. S'ajoute à ce qui précède la découverte dans la chambre du prévenu d'une balance électronique, de nombreux sachets de conditionnement, d'argent liquide et d'une quantité de haschich non compatible avec une seule consommation personnelle, qui constituent déjà de sérieux indices – supplémentaires – de l'existence d'un trafic de stupéfiants. Les explications fournies par l'appelant sur ces éléments, outre qu'elles</w:t>
      </w:r>
    </w:p>
    <w:p>
      <w:r>
        <w:t>- 21/33 - P/1813/2017 ont varié, sont peu vraisemblables et non étayées. Ainsi on discerne mal la nécessité de peser sa propre consommation de haschich et la raison pour un éventuel fournisseur de lui demander de détruire, après avoir indiqué qu'il devait les conserver, les nombreux sachets de conditionnement de 500 gr et de 1kg. L'appelant est encore peu convaincant lorsqu'il prétend avoir oublié détenir dans sa chambre près de 270 g de haschich – d'une valeur marchande pouvant être estimée entre CHF 800.- et CHF 900.- au regard des prix pratiqués lors de ses précédentes transactions avec E______ – destiné à sa consommation et altéré au point de ne plus être "fumable". Enfin, la provenance de l'argent découvert à son domicile demeure douteuse. Les CHF 2'800.-, auxquels s'ajoute le montant de près de EUR 2'900.- ayant fait l'objet d'une opération de change en francs suisses, sont en effet sans commune mesure avec ses revenus, qu'ils soient tirés de son activité auprès de la N______ en juillet 2017 ou de l'aide sociale. Il ne peut en outre être accordé que peu de crédibilité à l'attestation établie par sa mère s'agissant du montant de CHF 1'000.- qu'elle aurait offert à son fils, cette dernière ayant persisté encore par-devant le TCO à nier que du cannabis se soit trouvé à son domicile et pouvant être tentée de protéger son fils. Ainsi, la CPAR a, sur la base de ce faisceau d'indices, acquis la conviction que l'appelant a bien vendu, à tout le moins, dans la version qui lui est la plus favorable, 1 kg de haschich à E______ en juillet 2017 et que la drogue conservée dans son appartement était, à raison de 270 g, destinée à la vente.</w:t>
      </w:r>
    </w:p>
    <w:p>
      <w:r>
        <w:rPr>
          <w:b/>
        </w:rPr>
        <w:t>E. 5.1</w:t>
      </w:r>
    </w:p>
    <w:p>
      <w:r>
        <w:t>En application de l'art. 122 al. 1 CP, en vigueur depuis le 1er janvier 2018, l'auteur de lésions corporelles graves est passible d'une peine privative de liberté de six mois à dix ans. L'auteur d'une infraction à l'art. 19 LStup et à l'art. 33 al. 1 LArm l'est d'une peine privative de liberté de trois ans au plus ou d'une peine pécuniaire.</w:t>
      </w:r>
    </w:p>
    <w:p>
      <w:r>
        <w:rPr>
          <w:b/>
        </w:rPr>
        <w:t>E. 5.2</w:t>
      </w:r>
    </w:p>
    <w:p>
      <w:r>
        <w:t>À l'aune de l'art. 2 CP, la réforme du droit des sanctions, entrée en vigueur le 1er janvier 2018, est en règle générale moins favorable à la personne condamnée (M. DUPUIS / L. MOREILLON / C. PIGUET / S. BERGER / M. MAZOU / V. RODIGARI [éds], Code pénal - Petit commentaire, 2e éd., Bâle 2017, Rem. prél. ad art. 34 à 41,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En l'espèce, les faits reprochés ont été commis avant l'entrée en vigueur du nouveau droit des sanctions. Vu la révocation du sursis (cf. infra consid. 4.4), le nouveau droit des sanctions paraît plus favorable à l'appelant malgré l'exclusion de la peine pécuniaire comme genre de peine pour l'art. 122 CP. Il sera partant appliqué.</w:t>
      </w:r>
    </w:p>
    <w:p>
      <w:r>
        <w:t>- 22/33 - P/1813/2017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5.3.2.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(ATF 127 IV 101 consid. 2b p. 103 ; arrêt du Tribunal fédéral 6B_445/2016 du 5 juillet 2017 consid. 6.1.1 ; 6B_42/2015 du 22 juillet 2015 consid. 2.4.1). 5.3.3.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w:t>
      </w:r>
    </w:p>
    <w:p>
      <w:r>
        <w:t>- 23/33 - P/1813/2017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5.3.4.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5.3.5. Au sens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Concrètement, le juge se demande d'abord quelle peine d'ensemble aurait été prononcée si toutes les infractions avaient été jugées simultanément. La peine complémentaire est constituée de la différence entre cette peine d'ensemble et la</w:t>
      </w:r>
    </w:p>
    <w:p>
      <w:r>
        <w:t>- 24/33 - P/1813/2017 peine de base, à savoir celle prononcée précédemment (ATF 141 IV 61 consid. 6.1.2 p. 67 ; arrêt du Tribunal fédéral 6B_623/2016 du 25 avril 2017 consid. 1.1 et 1.4).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(arrêt du Tribunal fédéral 6B_215/2012 du 24 octobre 2012 consid. 3.5.3 et les références citées). 5.3.6.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w:t>
      </w:r>
    </w:p>
    <w:p>
      <w:r>
        <w:rPr>
          <w:b/>
        </w:rPr>
        <w:t>E. 5.4</w:t>
      </w:r>
    </w:p>
    <w:p>
      <w:r>
        <w:t>En l'espèce, la faute de l'appelant est lourde dans la mesure où il a porté gratuitement et violemment atteinte à l'intégrité physique de sa victime, dirigeant ses coups sur une partie du corps particulièrement vulnérable. Après l'avoir injurié, il a laissé l'intimé au sol et a quitté les lieux sans se préoccuper de son état. L'intimé a souffert en particulier d'une tuméfaction importante des paupières, dont il conserve un risque accru de développer un glaucome, et des fractures déplacées des planchers d'orbite bilatérales. Outre ses douleurs physiques et psychiques (troubles du sommeil, angoisses nécessitant la prise d'anxiolytiques), sa vie sociale s'en est ressentie en raison de son hyper vigilance. Le mobile du prévenu relève d'une impulsivité mal maîtrisée, engendrée par un motif futile, consistant en une apparente querelle impliquant des amis de la victime. Après la commission de son forfait, il a agi lâchement en tentant d'abord d'obtenir qu'elle renonce à porter plainte contre lui en échange d'une somme d'argent, puis en n'hésitant pas à l'accuser d'avoir provoqué une bagarre pour minimiser ses torts. Pour les infractions à la LStup, sa faute n'en est pas moins importante puisqu'il s'est livré à un trafic de stupéfiants en dépit de ses précédentes condamnations et, de surcroît, durant son délai d'épreuve. Ce comportement démontre son mépris total des règles en vigueur et des autorités. Son mobile était purement égoïste, soit l'appât du gain facile. Au-delà du genre de drogue, il n'en demeure pas moins que le trafic a porté sur plus d'1.2 kg de haschich et qu'au regard des nombreux sachets de</w:t>
      </w:r>
    </w:p>
    <w:p>
      <w:r>
        <w:t>- 25/33 - P/1813/2017 conditionnement et autre matériel stockés chez lui, il ne comptait pas arrêter là "sa petite entreprise". Sa faute s'agissant de l'infraction à la LArm est dans l'absolu moindre. Dans la mesure toutefois où le prévenu a déjà usé d'une arme prohibée en septembre 2013, sa propension à être porteur d'une arme interdite rend sa faute lourde. En tout état, le prévenu ne pouvait ignorer le caractère illégal de son comportement et a une nouvelle fois volontairement décidé de s'affranchir des règles par simple confort personnel. Sa situation personnelle, plutôt favorable au regard du soutien financier et personnel reçu de ses proches et de l'Etat, n'explique pas la commissions des infractions qui lui sont reprochées. L'âge de l'appelant ne saurait être pris en compte à sa décharge dans la présente procédure. Agé de 21 et 22 ans au moment des faits reprochés, l'appelant avait déjà largement dépassé la majorité. Il connaissait parfaitement les risques encourus pour des comportements induits par la violence eu égard à ses antécédents. Son jeune âge lors de la tentative de meurtre commise en septembre 2013, quelques jours après ses 18 ans, a déjà été largement retenu dans le cadre de la fixation de sa peine en novembre 2014, ce qui lui a permis de bénéficier d'une clémence qu'il n'a pas su faire fructifier. Sa collaboration doit être qualifiée de moyenne à médiocre en lien avec la tentative de lésions corporelles graves. Il a admis être l'auteur de l'infraction, mais a toutefois varié dans ses explications, minimisé le nombre de coups portés et leur violence, accusé la victime de l'avoir agressé afin d'amoindrir ses torts et enfin refusé de communiquer aux autorités les identités des personnes qui l'accompagnaient la nuit des faits. Pour la vente de stupéfiants, sa collaboration a été mauvaise, persistant encore en appel à nier sa culpabilité en dépit des éléments de preuve recueillis. Eu égard à l'infraction à la LArm, le prévenu n'a pas hésité à donner des explications contradictoires sur sa provenance, étant relevé qu'il pouvait difficilement contester sa détention vu les circonstances de sa découverte. Sa prise de conscience est quasi inexistante. Ses excuses vis-à-vis de la victime sont de peu de valeur considérant le report systématique de la responsabilité de son propre comportement sur celle-ci. Il n'a non seulement pas stoppé sa consommation de stupéfiants, nonobstant les mesures de substitution mises et règles de conduite en cours depuis, mais plus, s'est livré à un trafic de telles substances. La proposition de l'appelant d'indemniser la victime avec de l'argent confisqué ne peut en aucun cas être considérée comme honorable, s'agissant bien plus de diminuer sa dette envers cette victime, si bien que le repentir sincère allégué à cet égard ne</w:t>
      </w:r>
    </w:p>
    <w:p>
      <w:r>
        <w:t>- 26/33 - P/1813/2017 sera pas retenu pour cette raison déjà. En outre, le prévenu n'a jamais témoigné de réels regrets s'agissant des souffrances endurées par la victime des suites de ses coups. Comme mentionné supra, il n'a pas assumé sa pleine responsabilité, persistant à minimiser son implication dans les lésions infligées et à dire que la victime en était à l'origine. Il ne peut ainsi se targuer d'aucun acte désintéressé et méritoire. Il y a concours d'infractions, facteur aggravant de la peine la plus grave, à savoir la tentative de lésions corporelles graves. Une atténuation faible de la peine sera retenue du fait que l'infraction est restée au stade de la tentative, ce qui au demeurant tient davantage à une bonne constitution de la victime qu'à un renoncement du prévenu qui l'a laissée gisante au sol avant de s'éloigner. Le pronostic quant à son comportement futur demeure mauvais, dans la mesure où il a délibérément persisté dans ses agissements délictueux en dépit de ses condamnations des 14 novembre 2014 et 12 décembre 2015, du sursis partiel qui lui a été octroyé en 2014 que le MP a renoncé à révoquer en 2015, et enfin de la prolongation de son délai d'épreuve d'une année par le TAPEM en raison de la violation répétée des six règles de conduites fixées, comprenant le soutien effectivement mis en place pour sa réinsertion. Il affirme avoir changé de comportement et avoir pris ses responsabilités. Or, s'il est vrai qu'il est aujourd'hui associé gérant de sa société, il ne prouve toutefois pas la perception d'un quelconque revenu en lien avec cette activité. Il vit toujours chez sa mère, sans toutefois indiquer et étayer si cette dernière pourvoit à son entretien et, le cas échéant, à quel niveau. Il affirme ne plus être au bénéfice de l'aide de l'Hospice général, hormis pour son assurance maladie, une fois encore sans le documenter. Faute d'éléments probants, ses dires s'agissant de sa situation financière et professionnelle doivent être retenus avec circonspection. Les tests toxicologiques effectués, certes volontairement, l'ont toutefois été à des dates choisies par lui-même, de sorte qu'il lui était loisible d'adapter sa consommation de substances, en particulier d'alcool, en fonction des rendez-vous. S'il est vrai qu'il a entrepris un suivi psychologique régulier depuis 2018, il considère néanmoins que son utilité se limite à pouvoir "discuter des choses de la vie" et ne souhaite pas reparler des actes graves qui lui sont reprochés. En réalité, il estime pouvoir décider de lui-même si et quand il se soumet à ce suivi, ce que la demande de diminution de la fréquence de ses rendez- vous ainsi que les nombreuses violations des règles de conduite démontrent. Sa situation personnelle actuelle n'est donc pas vraiment plus favorable que celle préexistant au moment des infractions et le prévenu ne prouve pas avoir changé complètement d'attitude. Il ne lui sera dès lors pas octroyé de sursis et la révocation du sursis antérieur sera confirmée.</w:t>
      </w:r>
    </w:p>
    <w:p>
      <w:r>
        <w:t>- 27/33 - P/1813/2017 Comme développé à bon escient par les premiers juges, l'infraction de tentative de lésions corporelles graves est la plus grave et doit être sanctionnée, en tenant compte de toutes les circonstances du cas d'espèce, par une peine privative de liberté de 18 mois, laquelle constitue la peine de base. Les infractions à la LStup et à la LArm méritent par elles-mêmes des peines privatives de liberté s'élevant respectivement à 3 mois et à 20 jours. En application de l'art. 49 CP, la peine de base de 18 mois doit être augmentée dans une juste proportion pour tenir compte du principe d'aggravation. Ainsi, pour les nouvelles infractions uniquement et avant de traiter de la problématique de la révocation du sursis antérieur, la peine sera portée à 20 mois de privation de liberté. Le solde de la peine dont le sursis est révoqué se monte à 24 mois de privation de liberté, de sorte que, par simple cumul, la peine globale devrait être fixée à 44 mois de privation de liberté. Néanmoins, la nouvelle teneur de l'art. 46 al. 1 CP est plus favorable au prévenu en requérant la fixation d'une peine d'ensemble. Afin de tenir compte de la réduction intrinsèque au mécanisme de fixation d'une peine d'ensemble ainsi que du temps objectivement écoulé depuis les derniers faits de violence, la peine privative de liberté d'ensemble de 36 mois sera confirmée. Compte tenu de ce quantum, le prévenu ne saurait bénéficier du régime de semi- détention.</w:t>
      </w:r>
    </w:p>
    <w:p>
      <w:r>
        <w:rPr>
          <w:b/>
        </w:rPr>
        <w:t>E. 6</w:t>
      </w:r>
    </w:p>
    <w:p>
      <w:r>
        <w:t>L'appelant a acquiescé, sur leur principe, aux conclusions civiles de l'intimé correspondant au tort moral, dont le montant fixé paraît adéquat et conforme à la jurisprudence, sa condamnation à leur remboursement étant partant confirmée.</w:t>
      </w:r>
    </w:p>
    <w:p>
      <w:r>
        <w:rPr>
          <w:b/>
        </w:rPr>
        <w:t>E. 7.1</w:t>
      </w:r>
    </w:p>
    <w:p>
      <w:r>
        <w:t>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c). Le juge ne peut ordonner cette mesure que si le lésé cède à l'Etat une part correspondante de sa créance (art. 73 al. 2 CP). L'allocation n'est octroyée qu'à la demande expresse du lésé (arrêt du Tribunal fédéral 6B_1065/2017 du 17 mai 2019 destiné à la publication, consid. 3.1), si bien que le juge ne peut pas statuer d'office à cet égard (M. DUPUIS / L. MOREILLON /</w:t>
      </w:r>
    </w:p>
    <w:p>
      <w:r>
        <w:t>- 28/33 - P/1813/2017 C. PIGUET / S. BERGER / M. MAZOU / V. RODIGARI [éds], op. cit. , ad art. 73 N 5).</w:t>
      </w:r>
    </w:p>
    <w:p>
      <w:r>
        <w:rPr>
          <w:b/>
        </w:rPr>
        <w:t>E. 7.2</w:t>
      </w:r>
    </w:p>
    <w:p>
      <w:r>
        <w:t>Faute pour l'appelant, prévenu, d'avoir la qualité pour requérir une telle allocation, il ne sera pas donné suite à sa demande visant à ce que l'argent confisqué soit alloué à l'intimé C______ au titre de réparation partielle de son tort moral. En tout état de cause, le prévenu ne saurait profiter de réduire sa dette pécuniaire vis- à-vis du plaignant avec de l'argent issu d'un trafic de stupéfiants qui doit être confisqué (art. 69 CP).</w:t>
      </w:r>
    </w:p>
    <w:p>
      <w:r>
        <w:rPr>
          <w:b/>
        </w:rPr>
        <w:t>E. 8</w:t>
      </w:r>
    </w:p>
    <w:p>
      <w:r>
        <w:t>8.1.1.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(al.2). 8.1.2. En l'espèce, vu la confirmation du jugement entrepris, les frais de première instance seront laissés à la charge de l'appelant. 8.2.1.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8.2.2. L'appelant, qui succombe entièrement dans ses conclusions, supportera l'intégralité des frais de la procédure d'appel envers l'État, lesquels comprennent un émolument de CHF 3'000.-.</w:t>
      </w:r>
    </w:p>
    <w:p>
      <w:r>
        <w:rPr>
          <w:b/>
        </w:rPr>
        <w:t>E. 9</w:t>
      </w:r>
    </w:p>
    <w:p>
      <w:r>
        <w:t>L'appelant n'a pas droit à des prétentions fondées sur l'art. 429 CPP vu l'issue de la procédure.</w:t>
      </w:r>
    </w:p>
    <w:p>
      <w:r>
        <w:rPr>
          <w:b/>
        </w:rPr>
        <w:t>E. 10</w:t>
      </w:r>
    </w:p>
    <w:p>
      <w:r>
        <w:t>10.1.1. Selon l'art. 135 al. 1 CPP,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w:t>
      </w:r>
    </w:p>
    <w:p>
      <w:r>
        <w:t>- 29/33 - P/1813/2017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10.2</w:t>
      </w:r>
    </w:p>
    <w:p>
      <w:r>
        <w:t>Me D______ produit un état de frais comptabilisant pour la seule procédure d'appel 10h45 d'activité de collaborateur. L'état de frais ainsi déposé apparaît exagéré</w:t>
      </w:r>
    </w:p>
    <w:p>
      <w:r>
        <w:t>- 30/33 - P/1813/2017 au regard de la nature et de la complexité de la cause dans un dossier censé bien maitrisé pour avoir été plaidé en première instance six mois plus tôt et n'ayant pas sollicité le dépôt de conclusions civiles.</w:t>
      </w:r>
    </w:p>
    <w:p>
      <w:r>
        <w:t>Les 5h30 consacrées à l'étude du dossier et à la préparation de l'audience seront réduites à 4h, suffisantes en l'espèce au regard de ce qui a été mentionné supra. Le temps consacré à l'audience sera indemnisé à hauteur de 2h30, soit sa durée effective, et un montant forfaitaire de CHF 75.- sera alloué pour le déplacement.</w:t>
      </w:r>
    </w:p>
    <w:p>
      <w:r>
        <w:t>En conclusion, l'indemnité sera arrêtée à CHF 1'458.- correspondant à 7h45 d'activité au tarif de CHF 150.-/heure (CHF 1'162.50) plus la majoration forfaitaire de 10% (vu l'indemnisation intervenue en première instance ; CHF 116.25), le forfait de déplacement de CHF 75.- et l'équivalent de la TVA au taux de 7.7% (CHF 104.25). * * * * *</w:t>
      </w:r>
    </w:p>
    <w:p>
      <w:r>
        <w:t>- 31/33 - P/1813/2017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