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AARP/426/2016 vom 21. Oktober 2016</w:t>
      </w:r>
    </w:p>
    <w:p>
      <w:r>
        <w:t>GE Cour de justice, 2016-10-21, FR</w:t>
      </w:r>
    </w:p>
    <w:p>
      <w:r>
        <w:rPr>
          <w:b/>
        </w:rPr>
        <w:t xml:space="preserve">Quelle: </w:t>
      </w:r>
      <w:r>
        <w:t>https://mcp.opencaselaw.ch/entscheid/ge_gerichte_AARP_426_2016</w:t>
      </w:r>
    </w:p>
    <w:p>
      <w:r>
        <w:t>FR: GE_GERICHTE AARP/426/2016 du 21 octobre 2016</w:t>
      </w:r>
    </w:p>
    <w:p>
      <w:r>
        <w:t>IT: GE_GERICHTE AARP/426/2016 del 21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- 4/8 - P/15296/2015</w:t>
      </w:r>
    </w:p>
    <w:p>
      <w:r>
        <w:t>La Chambre limite son examen aux violations décrites dans l'acte d'appel (art. 404 al. 1 CPP), sauf en cas de décisions illégales ou inéquitables (art. 404 al. 2 CPP).</w:t>
      </w:r>
    </w:p>
    <w:p>
      <w:r>
        <w:rPr>
          <w:b/>
        </w:rPr>
        <w:t>E. 2</w:t>
      </w:r>
    </w:p>
    <w:p>
      <w:r>
        <w:t>novembre 2009 consid. 2.1).</w:t>
      </w:r>
    </w:p>
    <w:p>
      <w:r>
        <w:rPr>
          <w:b/>
        </w:rPr>
        <w:t>E. 3</w:t>
      </w:r>
    </w:p>
    <w:p>
      <w:r>
        <w:t>3.1.1. L'art. 115 al. 1 let. a LEtr dispose qu'est passible d'une peine privative de liberté d'un an au plus ou d'une peine pécuniaire quiconque contrevient aux dispositions sur l'entrée en Suisse (art. 5 LEtr).</w:t>
      </w:r>
    </w:p>
    <w:p>
      <w:r>
        <w:t>3.1.2.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t>3.1.3. Par arrêté fédéral du 18 juin 2010 (RO 2010 5925), la Suisse a repris la Directive sur le retour.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(arrêt du Tribunal fédéral 1B_162/2015 du 1er juillet 2015 consid. 2.3 ; ACPR/173/2015 du 23 mars 2015 consid. 3.4 in fine).</w:t>
      </w:r>
    </w:p>
    <w:p>
      <w:r>
        <w:t>3.2.1. La loi sur l'asile du 26 juin 1998 règle l'octroi de l'asile et le statut des réfugiés en Suisse (art. 1 let. a) et la protection provisoire accordée en Suisse à ceux qui en</w:t>
      </w:r>
    </w:p>
    <w:p>
      <w:r>
        <w:t>- 5/8 - P/15296/2015 ont besoin (personnes à protéger), ainsi que leur retour dans leur pays d'origine ou de provenance ou dans un Etat tiers (art. 1 let. b).</w:t>
      </w:r>
    </w:p>
    <w:p>
      <w:r>
        <w:t>La LAsi est une lex specialis par rapport à la LEtr (art. 2 al. 1 LEtr ; AARP/212/2015 du 4 mai 2015 consid. 3.3.1 et les références citées).</w:t>
      </w:r>
    </w:p>
    <w:p>
      <w:r>
        <w:t>3.2.2. Toute manifestation de volonté par laquelle une personne demande à la Suisse de la protéger contre des persécutions est considérée comme une demande d'asile (art. 18 LAsi). La demande d'asile doit être déposée au poste de contrôle d'un aéroport suisse ou, lors de l'entrée en Suisse, à un poste-frontière ouvert ou dans un centre d'enregistrement et de procédure (art. 19 al. 1 LAsi). Les autorités compétentes assignent en règle générale les personnes qui demandent l'asile à la frontière, ou après avoir été interceptées près de la frontière en cas d'entrée illégale, ou encore en Suisse, à un centre d'enregistrement (art. 21 al. 1 LAsi).</w:t>
      </w:r>
    </w:p>
    <w:p>
      <w:r>
        <w:t>3.2.3. L'art. 31 al. 1 de la Convention relative au statut des réfugiés conclue à Genève le 28 juillet 1951 (CR ; RS 0.142.30) prévoit que les Etats contractants n'appliqueront pas de sanctions pénales, du fait de leur entrée ou de leur séjour irréguliers, aux réfugiés qui, arrivant directement du territoire où leur vie ou leur liberté était menacée au sens prévu par l'article premier, entrent ou se trouvent sur leur territoire sans autorisation, sous la réserve qu'ils se présentent sans délai aux autorités et leur exposent des raisons reconnues valables de leur entrée ou présence irrégulières.</w:t>
      </w:r>
    </w:p>
    <w:p>
      <w:r>
        <w:t>Ce principe figurait également à l'art. 23 al. 3 aLSEE (Loi fédérale du 26 mars 1931 sur le séjour et l'établissement des étrangers ; RS 1 113), mais n'a pas été repris dans la LEtr. Cette omission est toutefois sans pertinence dans la mesure où le Tribunal fédéral semble considérer l'art. 31 al. 1 CR comme directement applicable (AARP/307/2016 consid. 2.2.1 et les références citées).</w:t>
      </w:r>
    </w:p>
    <w:p>
      <w:r>
        <w:rPr>
          <w:b/>
        </w:rPr>
        <w:t>E. 3.3</w:t>
      </w:r>
    </w:p>
    <w:p>
      <w:r>
        <w:t>En l'espèce, l'acquittement du chef de séjour illégal est acquis à l'appelant (art. 391 al. 2 CPP), seule l'infraction d'entrée illégale étant litigieuse en appel.</w:t>
      </w:r>
    </w:p>
    <w:p>
      <w:r>
        <w:t>A cet égard, l'appelant soutient qu'il est arrivé en Suisse en novembre 2014 pour y déposer une demande d'asile, qui a été rejetée trois mois plus tard.</w:t>
      </w:r>
    </w:p>
    <w:p>
      <w:r>
        <w:t>Ces explications trouvent confirmation dans le dossier, dans la mesure où sa présence sur le territoire suisse est connue des autorités valaisannes de migration depuis le 26 novembre 2014, date de la saisie de ses empreintes digitales.</w:t>
      </w:r>
    </w:p>
    <w:p>
      <w:r>
        <w:t>Il apparaît ainsi que l'appelant a déposé sa demande d'asile dès son entrée en Suisse, dans le respect des dispositions légales précitées, et non pas trois mois plus tard, comme mentionné par erreur dans le jugement querellé.</w:t>
      </w:r>
    </w:p>
    <w:p>
      <w:r>
        <w:t>Il doit par conséquent être acquitté du chef d'entrée illégale.</w:t>
      </w:r>
    </w:p>
    <w:p>
      <w:r>
        <w:t>- 6/8 - P/15296/2015</w:t>
      </w:r>
    </w:p>
    <w:p>
      <w:r>
        <w:rPr>
          <w:b/>
        </w:rPr>
        <w:t>E. 4</w:t>
      </w:r>
    </w:p>
    <w:p>
      <w:r>
        <w:t>Vu l'issue de la procédure, les frais de première instance et d'appel seront laissés à la charge de l'Etat (art. 426 al. 1 a contrario, 428 al. 1 ab initio et 428 al. 3 CPP).</w:t>
      </w:r>
    </w:p>
    <w:p>
      <w:r>
        <w:rPr>
          <w:b/>
        </w:rPr>
        <w:t>E. 5.1</w:t>
      </w:r>
    </w:p>
    <w:p>
      <w:r>
        <w:t>L'état de frais de Me X______ pour la procédure d'appel sera admis dans sa totalité.</w:t>
      </w:r>
    </w:p>
    <w:p>
      <w:r>
        <w:t>Il n'y a pas lieu, en revanche, d'indemniser les prestations antérieures à la saisine de la CPAR, celles-ci ayant déjà fait l'objet d'une taxation par le Tribunal de police.</w:t>
      </w:r>
    </w:p>
    <w:p>
      <w:r>
        <w:rPr>
          <w:b/>
        </w:rPr>
        <w:t>E. 5.2</w:t>
      </w:r>
    </w:p>
    <w:p>
      <w:r>
        <w:t>L'indemnité sera ainsi arrêtée à CHF 799.20, montant qui inclut la majoration forfaitaire de 20% (CHF 123.33) et la TVA au taux de 8% (CHF 59.20). * * * * *</w:t>
      </w:r>
    </w:p>
    <w:p>
      <w:r>
        <w:t>- 7/8 - P/15296/2015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