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AARP/425/2015 vom 5. Oktober 2015</w:t>
      </w:r>
    </w:p>
    <w:p>
      <w:r>
        <w:t>GE Cour de justice, 2015-10-05, FR</w:t>
      </w:r>
    </w:p>
    <w:p>
      <w:r>
        <w:rPr>
          <w:b/>
        </w:rPr>
        <w:t xml:space="preserve">Quelle: </w:t>
      </w:r>
      <w:r>
        <w:t>https://mcp.opencaselaw.ch/entscheid/ge_gerichte_AARP_425_2015</w:t>
      </w:r>
    </w:p>
    <w:p>
      <w:r>
        <w:t>FR: GE_GERICHTE AARP/425/2015 du 5 octobre 2015</w:t>
      </w:r>
    </w:p>
    <w:p>
      <w:r>
        <w:t>IT: GE_GERICHTE AARP/425/2015 del 5 ottobre 2015</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w:t>
      </w:r>
    </w:p>
    <w:p>
      <w:r>
        <w:t>- 16/34 - P/1765/2014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CPAR limite son examen aux violations décrites dans l'acte d'appel (art. 404 al. 1 CPP), sauf en cas de décisions illégales ou inéquitables (art. 404 al. 2 CPP).</w:t>
      </w:r>
    </w:p>
    <w:p>
      <w:r>
        <w:rPr>
          <w:b/>
        </w:rPr>
        <w:t>E. 2</w:t>
      </w:r>
    </w:p>
    <w:p>
      <w:r>
        <w:t>Le principe in dubio pro reo, qui découle de la présomption d'innocence, garantie par l'art. 6 ch. 2 de la Convention de sauvegarde des droits de l'homme et des libertés fondamentales, conclue à Rome le 4 novembre 1950 (CEDH ; RS 0.101) et, sur le plan interne, par les art. 32 al. 1 de la Constitution fédérale du 18 avril 1999 (Cst. ; RS 101 ; art. 8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124 IV 86 consid. 2a ; 120 Ia 31 consid. 2). Le juge du fait dispose d'un large pouvoir dans l'appréciation des preuves (ATF 120 Ia 31 consid. 4b).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w:t>
      </w:r>
    </w:p>
    <w:p>
      <w:r>
        <w:t>- 17/34 - P/1765/2014 Les déclarations de la victime, entendue comme témoin, constituent un élément de preuve que le juge apprécie librement (arrêts du Tribunal fédéral 6B_614/2012 du 15 février 2013 consid. 3.2.5 et 6B_716/2010 du 15 novembre 2010 consid. 1.3).</w:t>
      </w:r>
    </w:p>
    <w:p>
      <w:r>
        <w:rPr>
          <w:b/>
        </w:rPr>
        <w:t>E. 3.1</w:t>
      </w:r>
    </w:p>
    <w:p>
      <w:r>
        <w:t>Celui qui aura intentionnellement tué une personne sera puni d'une peine privative de liberté de cinq ans au moins (art. 111 CP). Sur le plan subjectif, l'auteur doit avoir l'intention de causer par son comportement la mort d'autrui. L'intention comprend le dol éventuel (arrêt du Tribunal fédéral 6S.382/2005 du 12 novembre 2005 consid. 3.1).</w:t>
      </w:r>
    </w:p>
    <w:p>
      <w:r>
        <w:rPr>
          <w:b/>
        </w:rPr>
        <w:t>E. 3.2</w:t>
      </w:r>
    </w:p>
    <w:p>
      <w:r>
        <w:t>Selon l'art. 156 CP, celui qui, dans le dessein de se procurer ou de procurer à un tiers un enrichissement illégitime, aura déterminé une personne à des actes préjudiciables à ses intérêts pécuniaires ou à ceux d'un tiers, en usant de violence ou en la menaçant d'un dommage sérieux, sera puni d'une peine privative de liberté de cinq ans au plus ou d'une peine pécuniaire (ch. 1). Si l'auteur a exercé des violences sur une personne ou s'il l'a menacée d'un danger imminent pour la vie ou l'intégrité corporelle, la peine sera celle prévue à l'art. 140 CP (ch. 3). Si la menace porte sur un danger imminent pour la vie ou l'intégrité corporelle, il convient d'appliquer l'art. 156 ch. 3 CP. Le caractère sérieux du dommage doit être évalué en fonction de critères objectifs et non d'après la réaction du destinataire des menaces (B. CORBOZ, Les infractions en droit suisse, vol. I, 3e éd., Berne 2010, art. 156 CP n. 16). Sur le plan subjectif, l'art. 156 CP suppose, outre l'élément intentionnel qui peut revêtir la forme du dol éventuel, un dessein d'enrichissement illégitime chez l'auteur, qui fait défaut s'il est titulaire d'une créance à l'égard de la personne visée ou croit l'être (M. DUPUIS / B. GELLER / G. MONNIER / L. MOREILLON / C. PIGUET / C. BETTEX / D. STOLL [éds], Code pénal - Petit commentaire, Bâle 2012, art. 156 n. 18 et 19).</w:t>
      </w:r>
    </w:p>
    <w:p>
      <w:r>
        <w:rPr>
          <w:b/>
        </w:rPr>
        <w:t>E. 3.3</w:t>
      </w:r>
    </w:p>
    <w:p>
      <w:r>
        <w:t>Celui qui, pour se procurer ou procurer à un tiers un enrichissement illégitime, aura soustrait une chose mobilière appartenant à autrui dans le but de se l'approprier sera puni d'une peine privative de liberté de cinq ans au plus ou d'une peine pécuniaire (art. 139 ch. 1 CP). Selon l’art. 172ter al. 1 CP, applicable aux infractions du titre 2 de la partie spéciale du Code pénal (infractions contre le patrimoine ; art. 137 à 172ter CP), si l’acte ne visait qu’un élément patrimonial de faible valeur ou un dommage de moindre importance, l’auteur sera, sur plainte, puni d’une amende. Le législateur a voulu décharger les autorités pénales des cas de peu de gravité (ATF 121 IV 261 consid. 2c).</w:t>
      </w:r>
    </w:p>
    <w:p>
      <w:r>
        <w:t>- 18/34 - P/1765/2014 S'agissant d'objets ayant une valeur marchande ou ayant une valeur objectivement déterminable, celle-ci est seule pertinente pour déterminer si l'acte ne visait qu'un élément patrimonial de faible valeur au sens de l'art. 172ter al. 1 CP. La limite jusqu'à laquelle cette disposition est applicable a été fixée à CHF 300.- (ATF 123 IV 113 consid. 3d ; 121 IV 261 consid. 2c ; arrêt du Tribunal fédéral 6B_208/2009 du</w:t>
      </w:r>
    </w:p>
    <w:p>
      <w:r>
        <w:rPr>
          <w:b/>
        </w:rPr>
        <w:t>E. 8</w:t>
      </w:r>
    </w:p>
    <w:p>
      <w:r>
        <w:t>L'appelant, qui succombe pour l'essentiel, supportera les sept huitièmes des frais de la procédure d'appel envers l'État, qui comprennent un émolument de jugement de CHF 3'000.- (art. 428 al. 1 CPP et art. 14 al. 1 let. e RTFMP). La part restante sera laissée à la charge de l'État.</w:t>
      </w:r>
    </w:p>
    <w:p>
      <w:r>
        <w:rPr>
          <w:b/>
        </w:rPr>
        <w:t>E. 9.1</w:t>
      </w:r>
    </w:p>
    <w:p>
      <w:r>
        <w:t>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Au regard de ce qui précède, la CPAR n'est compétente, au sens de l'art. 135 al. 2 CPP, que pour statuer sur l'activité postérieure à sa saisine, soit en l'espèce le 5 mai 2015.</w:t>
      </w:r>
    </w:p>
    <w:p>
      <w:r>
        <w:rPr>
          <w:b/>
        </w:rPr>
        <w:t>E. 9.2</w:t>
      </w:r>
    </w:p>
    <w:p>
      <w:r>
        <w:t>L'indemnité est calculée selon le tarif horaire de CHF 200.- pour un chef d'étude et de CHF 125.- pour un collaborateur, débours de l'étude inclus, hors TVA (art. 16 al. 1 du Règlement sur l'assistance juridique et l'indemnisation des conseils juridiques et défenseurs d'office en matière civile, administrative et pénale, du 28 juillet 2010 [RAJ ; rs/GE E2 05.04]). Seules les heures nécessaires sont retenues, l'appréciation du caractère nécessaire dépendant notamment de la nature, de l'importance et des difficultés de la cause, de la valeur litigieuse, de la qualité du travail fourni et du résultat obtenu (art. 16 al. 2 RAJ). L'autorité dispose d'un large pouvoir d'appréciation dans l'application des normes cantonales relatives à l'indemnisation de l'avocat d'office (arrêt du Tribunal fédéral 6B_810/2010 du 25 mai 2011 consid. 2). Reprenant l'activité de taxation suite à l'entrée en vigueur du CPP, la CPAR s'est inspirée des "Instructions relatives à l'établissement de l'état de frais" et de l' "Etat de frais standard – Mode d'emploi et modèle" édictés en 2002 et 2004, dans un souci de rationalisation et de simplification, par le Service de l'assistance juridique, autrefois chargé de la taxation. En particulier, la CPAR a maintenu les pratiques applicables depuis plusieurs années selon lesquelles une indemnisation forfaitaire de 20% jusqu'à 30 heures d'activité consacrées aux conférences, audiences et autres actes de la procédure ("Instructions relatives à l'établissement de l'état de frais" édictées en 2004), respectivement de 10% lorsque l'état de frais porte sur plus de 30 heures – taux que le Tribunal pénal fédéral n'a pas jugé arbitraire (décision de la Cour des plaintes du Tribunal pénal fédéral BB.2013.165 du 24 janvier 2014 consid. 4.2 ; ACPR/19/2014 du 9 janvier 2014) – est allouée pour les démarches diverses, telles</w:t>
      </w:r>
    </w:p>
    <w:p>
      <w:r>
        <w:t>- 30/34 - P/1765/2014 que la rédaction de courriers ou notes, les entretiens téléphoniques et la lecture de communications, pièces et décisions, sous réserve d'exceptions possibles, pour des documents particulièrement volumineux ou nécessitant un examen poussé, charge à l'avocat d'en justifier. Dans une ordonnance du 3 août 2015 (décision de la Cour des plaintes du Tribunal pénal fédéral BB.2015.35 du 3 août 2015 consid. 5), le Tribunal pénal fédéral a certes considéré que l'activité déployée avant la saisine de la juridiction d'appel n'entrait pas en considération pour la détermination du taux forfaitaire à appliquer aux diligences prestées en deuxième instance. Cette décision ne tient cependant pas compte de deux éléments. D'une part, la CPAR ne fait que s'inspirer, en les adaptant, faisant de la sorte usage de ses prérogatives de juge, des directives du Service de l'assistance juridique antérieures à l'adoption du CPP, lesquelles n'ont pas force de loi ni de règlement (arrêt du Tribunal fédéral 6B_165/2014 du 19 août 2014 consid. 3.5). D'autre part, en tout état, la pratique a toujours été de faire masse de toutes les heures consacrées par le même avocat au même dossier, étant rappelé qu'avant l'entrée en vigueur du CPP, la taxation avait lieu à la fin de la procédure cantonale, par le prononcé d'une décision unique. Aussi la CPAR continue-t-elle de tenir compte de l'ensemble de l'activité pour arrêter la majoration forfaitaire à 10 ou 20%, estimant que le fait qu'une décision de taxation intervienne séparément pour l'activité antérieure à sa saisine n'a pas de pertinence, cette circonstance n'ayant aucune influence sur la quantité de travail effectuée par l'avocat en deuxième instance. Les prestations de services fournies sur le territoire suisse par un avocat dans le cadre d'une défense d'office sont soumises à la TVA pour autant que cet avocat, qu'il s'agisse d'un chef d'étude ou d'un collaborateur, y soit assujetti (arrêt du Tribunal fédéral 6B_638/2012 du 10 décembre 2012 consid. 3.7).</w:t>
      </w:r>
    </w:p>
    <w:p>
      <w:r>
        <w:rPr>
          <w:b/>
        </w:rPr>
        <w:t>E. 9.3</w:t>
      </w:r>
    </w:p>
    <w:p>
      <w:r>
        <w:t>En l'espèce, Me B______ a été désigné défenseur d'office de A______ par ordonnance du Ministère public du 16 avril 2014. À la lecture des postes de l'état de frais produit, il apparaît que l'activité exercée par Me B______ dans le cadre de la présente procédure est, dans sa globalité, en adéquation avec la nature, l'importance et la difficulté de la cause. Par conséquent, son état de frais est admis à concurrence de 15 heures et 30 minutes d'activité de chef d'étude. Il convient d'y ajouter la durée de l'audience d'appel, de 1 heure et 30 minutes, déplacements compris, pour un total de 17 heures, ainsi que le forfait pour l'activité diverse à 10%, soit CHF 340.-, compte tenu de l'activité déployée et indemnisée en première instance pour plus de 47 heures, et la TVA à 8%, soit CHF 299.20.</w:t>
      </w:r>
    </w:p>
    <w:p>
      <w:r>
        <w:t>- 31/34 - P/1765/2014 Ainsi, l'indemnisation requise sera accordée à hauteur de CHF 4'039.20, arrondis à CHF 4'040.-, TVA comprise. * * * * *</w:t>
      </w:r>
    </w:p>
    <w:p>
      <w:r>
        <w:t>- 32/34 - P/1765/2014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