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AARP/425/2014 vom 30. September 2014</w:t>
      </w:r>
    </w:p>
    <w:p>
      <w:r>
        <w:t>GE Cour de justice, 2014-09-30, FR</w:t>
      </w:r>
    </w:p>
    <w:p>
      <w:r>
        <w:rPr>
          <w:b/>
        </w:rPr>
        <w:t xml:space="preserve">Quelle: </w:t>
      </w:r>
      <w:r>
        <w:t>https://mcp.opencaselaw.ch/entscheid/ge_gerichte_AARP_425_2014</w:t>
      </w:r>
    </w:p>
    <w:p>
      <w:r>
        <w:t>FR: GE_GERICHTE AARP/425/2014 du 30 septembre 2014</w:t>
      </w:r>
    </w:p>
    <w:p>
      <w:r>
        <w:t>IT: GE_GERICHTE AARP/425/2014 del 30 settembre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H. WIPRÄCHTIGER, Basler Kommentar, Strafrecht I, Bâle 2007, n. 5 ad art. 86 ; S. TRECHSEL, Schweizerisches Strafgesetzbuch : Praxiskommentar, Zurich 2008, n. 2 ad art. 86). En ce qui concerne la possibilité d'émettre un pronostic favorable, celle-ci était déjà exigée par l'art. 38 ch. 1 al. 1 aCP, de sorte que la jurisprudence y relative conserve son actualité (arrêt du Tribunal fédéral 6B.72/2007 du 8 mai 2007 consid. 4.1).</w:t>
      </w:r>
    </w:p>
    <w:p>
      <w:r>
        <w:t>- 5/8 - PM/858/2014</w:t>
      </w:r>
    </w:p>
    <w:p>
      <w:r>
        <w:t>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 A. BISCHOFSKY, La nouvelle partie générale du Code pénal suisse,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p. 361).</w:t>
      </w:r>
    </w:p>
    <w:p>
      <w:r>
        <w:rPr>
          <w:b/>
        </w:rPr>
        <w:t>E. 2.3</w:t>
      </w:r>
    </w:p>
    <w:p>
      <w:r>
        <w:t>En l’espèce, la condition objective prévue par l’art. 86 al. 1 CP est réalisée depuis le 27 septembre 2014. Le fait que la direction de la prison de Champ-Dollon ait préavisé positivement la demande de l’appelant constitue un élément favorable qui ne saurait, à lui seul, conduire à l’octroi d’une libération conditionnelle. En effet, l’appelant a été condamné à cinq reprises, entre le début de l'année 2012 et le mois de juin 2013, pour des faits similaires à ceux à l’origine des peines qu’il purge actuellement, et il a bénéficié d'une précédente libération conditionnelle en octobre 2012, qui ne l'a pas dissuadé de réitérer ses agissements illicites. Cela montre que l’appelant n’a pas pris pleinement conscience du caractère répréhensible de ses actes. Il n’est, ainsi, guère possible de le croire lorsqu’il affirme vouloir s’amender,</w:t>
      </w:r>
    </w:p>
    <w:p>
      <w:r>
        <w:t>- 6/8 - PM/858/2014 de sorte qu’il existe un risque concret de commission de nouveaux délits contre la Loi fédérale sur les stupéfiants, voire des infractions contre le patrimoine, en cas de nouvelle libération conditionnelle. Ce risque est d’autant plus important que la situation de l’appelant en Suisse est précaire, puisqu'il y séjourne illégalement et n'a pas de source de revenus licite. Quant à son projet de réinsertion, outre le fait qu'il n'est aucunement documenté, il n'apparaît pas réaliste, ni même crédible, puisque l'intéressé ne bénéficie d'aucune autorisation pour séjourner en France, étant au demeurant démuni de papiers d'identité, et n'a plus de contact avec son amie depuis son incarcération, s'étant de surcroît séparé de son amie plusieurs années auparavant suite à un problème non encore réglé à l'heure actuelle. Par conséquent, à l'instar du TAPEM, il convient de poser un pronostic défavorable quant au risque de voir l’appelant récidiver dans ses activités illicites.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r>
        <w:t>- 7/8 - PM/858/2014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