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AARP/424/2023 vom 9. November 2023</w:t>
      </w:r>
    </w:p>
    <w:p>
      <w:r>
        <w:t>GE Cour de justice, 2023-11-09, FR</w:t>
      </w:r>
    </w:p>
    <w:p>
      <w:r>
        <w:rPr>
          <w:b/>
        </w:rPr>
        <w:t xml:space="preserve">Quelle: </w:t>
      </w:r>
      <w:r>
        <w:t>https://mcp.opencaselaw.ch/entscheid/ge_gerichte_AARP_424_2023</w:t>
      </w:r>
    </w:p>
    <w:p>
      <w:r>
        <w:t>FR: GE_GERICHTE AARP/424/2023 du 9 novembre 2023</w:t>
      </w:r>
    </w:p>
    <w:p>
      <w:r>
        <w:t>IT: GE_GERICHTE AARP/424/2023 del 9 novembre 2023</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1.2</w:t>
      </w:r>
    </w:p>
    <w:p>
      <w:r>
        <w:t>Conformément aux considérants de l'arrêt du Tribunal fédéral du 6 juillet 2023, la nouvelle décision de la Chambre de céans, statuant à nouveau, portera uniquement sur la question des frais et des indemnités, le classement de la procédure étant acquis à l'appelant.</w:t>
      </w:r>
    </w:p>
    <w:p>
      <w:r>
        <w:rPr>
          <w:b/>
        </w:rPr>
        <w:t>E. 2</w:t>
      </w:r>
    </w:p>
    <w:p>
      <w:r>
        <w:t>2.1.1.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Seul un comportement fautif et contraire à une règle juridique, qui soit en relation de causalité avec les frais imputés, entre en ligne de compte. Pour déterminer si le comportement en cause est propre à justifier l'imputation des frais, le juge peut</w:t>
      </w:r>
    </w:p>
    <w:p>
      <w:r>
        <w:t>- 5/10 - P/22694/2017 prendre en considération toute violation claire d'une norme de comportement écrite ou non écrite résultant de l'ordre juridique suisse pris dans son ensemble, dans le sens d'une application par analogie des principes découlant de l'art. 41 CO.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 arrêt du Tribunal fédéral 6B_761/2020 du 4 mai 2021 consid. 7.1). Le juge ne peut fonder sa décision que sur des faits incontestés ou déjà clairement établis (ATF 112 Ia 371 consid. 2a ; arrêt du Tribunal fédéral 6B_660/2020 du 9 septembre 2020 consid. 1.3). 2.1.2. L'exploitabilité des preuves obtenues illégalement par les personnes privées n'étant pas réglée par les art. 140 et 141 CPP, la jurisprudence a défini que de tels moyens de preuves ne pouvaient être exploités que lorsque les deux conditions cumulatives suivantes sont remplies : en premier lieu, les moyens de preuve collectés par une personne privée auraient pu l'être de manière légale par les autorités de poursuite pénale et, cumulativement, une pesée des intérêts doit pencher en faveur de leur exploitation, autrement dit les intérêts publics ou privés prépondérants à la découverte de la vérité doivent l'emporter sur la sauvegarde d'intérêts privés de l'auteur présumé (arrêts du Tribunal fédéral 1B_91/2020 du 4 mars 2020 consid. 2.2 ; 6B_1188/2018 du 26 septembre 2019 consid. 2.1). De telles preuves ne peuvent dès lors être exploitées que lorsqu'elles sont indispensables pour élucider des infractions graves. Plus l'infraction à juger est grave, plus l'intérêt public à l'élucider prime sur l'intérêt privé du prévenu à ce que la preuve litigieuse ne soit pas exploitée (ATF 131 272 consid. 4.1.2 ; 137 I 218 consid. 2.3.4 ; arrêts du Tribunal fédéral 6B_323/2013 du 3 juin 2013 consid. 3.5 ; 6B_490/2013 du 14 octobre 2013 consid. 2.4). Selon l'art. 280 let. b CPP, le ministère public peut utiliser des dispositifs techniques de surveillance aux fins d'observer ou d'enregistrer des actions se déroulant dans des lieux qui ne sont pas publics ou qui ne sont pas librement accessibles. Ce moyen technique, à l'inverse notamment de la récolte des données secondaires de télécommunication, présuppose en principe l'installation de dispositifs à l'insu de la personne surveillée, impliquant ainsi une atteinte plus intrusive de la sphère privée qu'en matière de surveillance de la correspondance par poste et des télécommunications (ATF 147 IV 402 consid. 5.1.1 ; 146 IV 36 consid. 2.1). À teneur de l'art. 269 al. 1 CPP, applicable aux dispositifs techniques de surveillance par renvoi de l'art. 281 al. 4 CPP, le Ministère public peut ordonner la surveillance aux conditions suivantes : de graves soupçons laissent présumer que l'une des infractions visées à l'art. 269 al. 2 CPP a été commise (let. a) ; cette mesure se justifie au regard de la gravité de l'infraction (let. b) ; les mesures prises jusqu'alors dans le cadre de l'instruction sont restées sans succès ou les recherches n'auraient aucune</w:t>
      </w:r>
    </w:p>
    <w:p>
      <w:r>
        <w:t>- 6/10 - P/22694/2017 chance d'aboutir ou seraient excessivement difficiles en l'absence de surveillance (let. c). Seules les infractions visées par le catalogue exhaustif de l'art. 269 al. 2 CPP peuvent justifier une surveillance ; parmi celles-ci figure notamment l'art. 189 CP, mais non l'art. 198 CP. 2.2.1. En l'occurrence, le classement de la procédure par la CPAR a été justifié par le retrait de la plainte pénale par C______, intervenu en appel. Dans l'examen de la mise des frais à la charge du prévenu, en raison d'un comportement fautif et causal de celui-ci, la Chambre de céans avait, dans son arrêt, repris les termes du jugement de première instance, en indiquant qu'il ressortait de la procédure que le prévenu avait harcelé sexuellement son employée sur son lieu de travail durant la période pénale. Toutefois, cette constatation ne pouvait être reprise telle quelle, alors que le prévenu avait fait appel de ce jugement et l'employée concernée retiré sa plainte entretemps. En effet, les raisons de ce retrait ne sont pas connues et il ne peut ainsi être tenu pour établi que les déclarations de la plaignante au cours de la procédure pouvaient malgré tout être considérées comme crédibles, de même que les autres éléments de la procédure devaient malgré tout être revus sous ce nouvel angle. Par ailleurs, le verdict de culpabilité rendu par le premier juge était fondé largement sur les enregistrements audio effectués par la partie plaignante, considérés comme accablants. Le TP avait considéré ces moyens de preuve exploitables, bien que les enregistrements portaient sur des conversations privées survenues à l'agence, sans que l'appelant n'y consente et violaient ainsi, a priori, l'art. 179ter CP, dès lors qu'un soupçon de contrainte sexuelle au sens de l'art. 189 al 1 CPP aurait permis aux autorités de poursuite d'ordonner l'utilisation d'un dispositif technique de surveillance aux fins d'enregistrer les conversations des parties à l'agence (cf. art. 280 et 269 al. 2 CPP) et que l'intérêt public à la manifestation de la vérité, soit à la mise en évidence d'une éventuelle infraction de contrainte sexuelle l'emportait. Cela étant, au terme de son jugement, le TP a acquitté l'appelant du chef de contrainte sexuelle et considéré que les faits étaient constitutifs uniquement de désagréments causés par la confrontation à un acte d'ordre sexuel (art. 198 al. 2 CP). De ce fait, seule cette dernière infraction aurait dû entrer en compte dans le cadre de la pesée d'intérêts en présence. Or, l'art. 198 CP ne figure pas au catalogue de l'art. 269 al. 2 CPP et ne peut être, en l'espèce, considérée d'une gravité suffisante pour justifier une mesure de surveillance secrète, et partant l'utilisation d'une preuve obtenue illicitement par une personne privée. Ainsi, le TP ne pouvait pas se fonder sur ces enregistrements pour son verdict de culpabilité. Au vu de ces éléments, la CPAR considère que le dossier ne permet pas d'imputer au prévenu les frais de la procédure préliminaire et de première instance, de sorte que ceux-ci seront laissés à la charge de l'État.</w:t>
      </w:r>
    </w:p>
    <w:p>
      <w:r>
        <w:t>- 7/10 - P/22694/2017 2.2.2. Il en ira de même des frais de la première procédure d'appel, avant renvoi du Tribunal fédéral, l'appelant obtenant gain de cause (art. 428 al. 1 CPP).</w:t>
      </w:r>
    </w:p>
    <w:p>
      <w:r>
        <w:rPr>
          <w:b/>
        </w:rPr>
        <w:t>E. 3</w:t>
      </w:r>
    </w:p>
    <w:p>
      <w:r>
        <w:t>3.1.1. Selon l'art. 429 al. 1 CPP, si le prévenu est acquitté totalement ou en partie ou s'il bénéficie d'une ordonnance de classement, il a droit à une indemnité pour les dépenses occasionnées par l'exercice raisonnable de ses droits de procédure (let. a) et à une réparation du tort moral subi en raison d'une atteinte particulièrement grave à sa personnalité, notamment en cas de privation de liberté (let. c). La question de l'indemnisation doit être traitée après celle des frais, la décision sur les frais préjugeant de la question de l'indemnisation. En d'autres termes, si le prévenu supporte les frais en application de l'art. 426 al. 1 ou 2 CPP, une indemnité est en règle générale exclue, alors que le prévenu y a en principe droit si l'État supporte les frais de la procédure pénale (ATF 147 IV 47 consid. 4.1 ; 144 IV 207 consid.1.8.2 ; arrêt du Tribunal fédéral 6B_1169/2022 du 30 juin 2023 consid. 4.1.2). 3.1.2. L'État doit en principe indemniser la totalité des frais de défense, ceux-ci devant toutefois demeurer raisonnables compte tenu de la complexité et de la difficulté de l'affaire (ATF 142 IV 163 consid. 3.1.2 ; arrêts du Tribunal fédéral 6B_380/2021 du 21 juin 2022 consid. 2.2.2 ; 6B_706/2021 du 20 décembre 2021 consid. 2.1.1).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(cf. ACPR/140/2013 du 12 avril 2013). 3.2.1. Par identité de motifs avec ce qui a été décidé pour les frais, une indemnité sera allouée à l'appelant pour les dépenses occasionnées par l'exercice raisonnable de ses droits de procédure. En l'occurrence, l'appelant requiert l'indemnisation par l'État de 112.70 heures de travail de son conseil entre le 9 janvier 2018 et le 3 juin 2020, hors temps d'audience devant le TP, laquelle a duré cinq heures et 40 minutes. Ce volume d'activité apparaît clairement disproportionné à la complexité et l'importance de l'affaire. Il ressort du rapport d'activité que certains postes sortent de la stricte défense dans le cadre de la procédure pénale (recherches juridiques en droit du travail ; nombreux contacts avec une société tierce ; rédaction d'une plainte pénale laquelle ne ressort pas du dossier ; etc.). Par ailleurs, l'appelant a constitué plusieurs avocats, en sus du chef d'étude et de sa collaboratrice produisant leur note de frais, de sorte que certaines activités correspondent à des communications entre ses propres conseils.</w:t>
      </w:r>
    </w:p>
    <w:p>
      <w:r>
        <w:t>- 8/10 - P/22694/2017 En conséquence, les réductions opérées par la CPAR dans son précédent arrêt étaient justifiées. L'activité globale de la défense, pour la procédure préliminaire, devrait ainsi être réduite ex aequo et bono à 40 heures d'activité, attribuées à 42 % au tarif de chef d'étude et 58 % au tarif de collaboratrice, auxquelles s'ajoutent les débats de première instance d'une durée de cinq heures et 40 minutes au tarif de chef d'étude. L'indemnité pour les frais de défense devrait ainsi se monter à un total CHF 19'692.60 (22h30 à 450.- + 23h10 à 350.- = CHF 18'233.33 ; CHF 1'403.97 de TVA à 7.7% ; CHF 55.30 de débours). Ce montant sera néanmoins arrêté à CHF 23'262.50, conformément au montant fixé en première instance, ce montant étant acquis à l'appelant afin de respecter le principe de l'interdiction de la reformatio in pejus (art. 391 al. 2 CPP). Il sera relevé que l'appelant n'a fait valoir aucune indemnité pour ses frais de défense en appel. 3.2.2. S'agissant de l'indemnité pour le tort moral subi en raison de la privation de liberté, dans la mesure où cette indemnité ne pourra pas non plus être inférieure au montant fixé par le premier juge, en vertu de l'interdiction de la reformatio in pejus, il n'y a pas lieu d'y revenir. L'indemnité réclamée par l'appelant sera ainsi allouée, conformément à sa fixation par le premier juge, à CHF 4'800.-. Ce montant correspond à 48 jours à CHF 100.- le jour, dont trois jours de détention avant jugement et 45 jours pour les mesures de substitution, tenant compte de la limitation de la liberté personnelle ayant découlé de celles-ci estimée à 1/8ème des 365 jours durant lesquels le prévenu y a été soumis.</w:t>
      </w:r>
    </w:p>
    <w:p>
      <w:r>
        <w:rPr>
          <w:b/>
        </w:rPr>
        <w:t>E. 4</w:t>
      </w:r>
    </w:p>
    <w:p>
      <w:r>
        <w:t>Au vu de la portée de l'arrêt de renvoi rendu par le Tribunal fédéral, qui est en faveur de l'appelant, les frais de la présente procédure d'appel, post-renvoi, doivent être laissés entièrement à la charge de l'État (arrêt du Tribunal fédéral 6B_1367/2017 du 13 avril 2018 consid. 2.1). * * * * *</w:t>
      </w:r>
    </w:p>
    <w:p>
      <w:r>
        <w:t>- 9/10 - P/22694/2017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