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AARP/423/2015 vom 14. September 2015</w:t>
      </w:r>
    </w:p>
    <w:p>
      <w:r>
        <w:t>GE Cour de justice, 2015-09-14, FR</w:t>
      </w:r>
    </w:p>
    <w:p>
      <w:r>
        <w:rPr>
          <w:b/>
        </w:rPr>
        <w:t xml:space="preserve">Quelle: </w:t>
      </w:r>
      <w:r>
        <w:t>https://mcp.opencaselaw.ch/entscheid/ge_gerichte_AARP_423_2015</w:t>
      </w:r>
    </w:p>
    <w:p>
      <w:r>
        <w:t>FR: GE_GERICHTE AARP/423/2015 du 14 septembre 2015</w:t>
      </w:r>
    </w:p>
    <w:p>
      <w:r>
        <w:t>IT: GE_GERICHTE AARP/423/2015 del 14 settembre 2015</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3e éd., Zürich 2011, n. 2072). Les faits ou moyens de preuve visés par l'al. 1 de cette disposition doivent être susceptibles de corriger des erreurs de fait qui</w:t>
      </w:r>
    </w:p>
    <w:p>
      <w:r>
        <w:t>- 4/9 - P/16832/2015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(éds.),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2.2</w:t>
      </w:r>
    </w:p>
    <w:p>
      <w:r>
        <w:t>Autrement dit, une jurisprudence, même nouvelle, ne constitue pas un fait nouveau au sens de l'art. 410 let. a CPP (M. NIGGLI / M. HEER / H. WIPRÄCHTIGER (éds), op. cit, N. 51 ad art 410 et les références). Soit, comme en l'occurrence, elle ne fait que constater les conséquences juridiques d'une situation de fait qui n'est pas nouvelle, et il aurait alors appartenu au plaideur qui agit en révision de faire valoir durant la procédure avant jugement les arguments propres à obtenir une décision telle celle consacrée ultérieurement par la jurisprudence invoquée ; soit elle est l'occasion d'une nouvelle interprétation juridique pouvant s'apparenter à un changement de droit, auquel cas il n'y a pas lieu à application du nouveau droit aux affaires déjà définitivement jugées.</w:t>
      </w:r>
    </w:p>
    <w:p>
      <w:r>
        <w:t>2.3.4. Le fait qu'ultérieurement encore au prononcé de l'arrêt en question, le métrage des cellules de la prison ait été revu ne change rien à cette conclusion puisque, de son propre aveu, le requérant n'aurait pas pris de conclusions en constatation et réparation devant la CPAR avant la publication de l'ATF 140 I 125, soit en tout état tardivement.</w:t>
      </w:r>
    </w:p>
    <w:p>
      <w:r>
        <w:t>2.3.5. Compte tenu de ce qui précède, la demande de révision est manifestement irrecevable, et sera rejetée comme telle, sans autre instruction, en application de l'art. 412 al. 2 CPP, le requérant restant libre de saisir les autorités compétentes de conclusions en indemnisation, ce qui conduira préalablement à la vérification de ses conditions de détention et de ses allégations y relatives.</w:t>
      </w:r>
    </w:p>
    <w:p>
      <w:r>
        <w:rPr>
          <w:b/>
        </w:rPr>
        <w:t>E. 3.1</w:t>
      </w:r>
    </w:p>
    <w:p>
      <w:r>
        <w:t>A juste titre dès lors qu'il n'a pas à ce stade le statut de prévenu, mais bien celui de condamné, le requérant ne prétend pas être dans un cas de défense obligatoire, au sens de l'art. 130 CPP. 3.2.1. Aux termes de l'art. 29 al. 3 Cst.,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w:t>
      </w:r>
    </w:p>
    <w:p>
      <w:r>
        <w:t>- 7/9 - P/16832/2015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 3.2.2. Manifestement irrecevable, la demande de révision était d'emblée dépourvue de chances de succès de sorte que le requérant ne saurait prétendre à l'assistance judiciaire gratuite. Ses conclusions en ce sens seront partant également rejetées.</w:t>
      </w:r>
    </w:p>
    <w:p>
      <w:r>
        <w:rPr>
          <w:b/>
        </w:rPr>
        <w:t>E. 4</w:t>
      </w:r>
    </w:p>
    <w:p>
      <w:r>
        <w:t>En application de l'art. 428 al. 1 dernière phrase CPP et par renvoi de l'art. 413 al. 1 CPP, la partie dont le recours est irrecevable est considérée comme ayant succombé ; il en va de même en cas de rejet d'une demande de révision (A. KUHN / Y. JEANNERET (éds), op. cit., n. 3 ad art. 413). * * * * *</w:t>
      </w:r>
    </w:p>
    <w:p>
      <w:r>
        <w:t>- 8/9 - P/16832/2015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