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AARP/421/2019 vom 3. Dezember 2019</w:t>
      </w:r>
    </w:p>
    <w:p>
      <w:r>
        <w:t>GE Cour de justice, 2019-12-03, FR</w:t>
      </w:r>
    </w:p>
    <w:p>
      <w:r>
        <w:rPr>
          <w:b/>
        </w:rPr>
        <w:t xml:space="preserve">Quelle: </w:t>
      </w:r>
      <w:r>
        <w:t>https://mcp.opencaselaw.ch/entscheid/ge_gerichte_AARP_421_2019</w:t>
      </w:r>
    </w:p>
    <w:p>
      <w:r>
        <w:t>FR: GE_GERICHTE AARP/421/2019 du 3 décembre 2019</w:t>
      </w:r>
    </w:p>
    <w:p>
      <w:r>
        <w:t>IT: GE_GERICHTE AARP/421/2019 del 3 dicembre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L'art. 19a al. 1 LStup punit celui qui, sans droit, aura consommé intentionnellement des stupéfiants ou celui qui aura commis une infraction à l'art. 19 pour assurer sa propre consommation.</w:t>
      </w:r>
    </w:p>
    <w:p>
      <w:r>
        <w:rPr>
          <w:b/>
        </w:rPr>
        <w:t>E. 2.2</w:t>
      </w:r>
    </w:p>
    <w:p>
      <w:r>
        <w:t>En l'espèce, le fait que l'appelant était un consommateur de cannabis au moment de son contrôle et que la drogue trouvée dans sa voiture lui appartenait repose sur ses déclarations à l'administration fédérale des douanes. Celles-ci sont précises, indiquent la quantité de drogue consommée, à quelle fréquence, depuis combien de temps et la date de la dernière prise, si bien qu'elles ne semblent pas dictées par l'angoisse. L'appelant s'est par la suite rétracté, supposant que la drogue trouvée dans sa voiture aurait pu appartenir à un de ses amis, et arguant ne plus fumer de cannabis depuis un an, déclarations manifestement incompatibles avec sa condamnation allemande pour possession de cannabis. L'hypothèse articulée ne repose sur aucun élément l'étayant et ne permet par conséquent pas de nourrir un doute sur la réalité de ses aveux.</w:t>
      </w:r>
    </w:p>
    <w:p>
      <w:r>
        <w:t>- 5/14 - P/13860/2018 La culpabilité de l'appelant concernant infraction à l'art. 19a ch. 1 LStup est confirmée et l'appel sera donc rejeté sur ce point.</w:t>
      </w:r>
    </w:p>
    <w:p>
      <w:r>
        <w:rPr>
          <w:b/>
        </w:rPr>
        <w:t>E. 3.1</w:t>
      </w:r>
    </w:p>
    <w:p>
      <w:r>
        <w:t>Les règles applicables en matière de circulation routière sont fixées par la loi fédérale sur la circulation routière du 19 décembre 1958 (LCR - RS 741.01) et ses dispositions d'application, au nombre desquelles figure l'ordonnance sur les règles de la circulation routière du 13 novembre 1962 (OCR - RS 741.11) et l'ordonnance sur la signalisation routière du 5 septembre 1979 (OSR - RS 741.21). L'OCR fixe les règles applicables au comportement individuel des usagers de la route et l'OSR les règles applicables pour apposer les différents signaux, auxquels les utilisateurs doivent se conformer (art. 27 LCR). La règle fondamentale, qui préside à l'interprétation de toutes les dispositions d'exécution, est celle de l'art. 26 al. 1 LCR, selon laquelle chacun doit se comporter, dans la circulation, de manière à ne pas gêner ni mettre en danger ceux qui utilisent la route conformément aux règles établies. 3.2.1. L'art. 90 al. 3 LCR définit et réprime les infractions particulièrement graves aux règles de la circulation routière, dites "délit de chauffard". Cette disposition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loi donne une liste exemplative, non exhaustive, de ces règles fondamentales en évoquant trois types de comportements répréhendés (cf. ATF 142 IV 137 consid. 6.1 p. 142). L'art. 90 al. 3 LCR contient deux conditions objectives, la violation d'une règle fondamentale de la circulation routière et la création d'un grand risque d'accident pouvant entraîner de graves blessures ou la mort. Il découle de l'art. 90 al. 4 LCR que lorsque l'excès de vitesse atteint l'un des seuils fixés, la première condition objective de l'art. 90 al. 3 LCR, à savoir la violation d'une règle fondamentale de la circulation routière, est toujours remplie (ATF 143 IV 508 consid. 1.1 = SJ 2018 I 277). A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L'excès de vitesse qualifié au sens de l'art. 90 al. 4 LCR suffit déjà en principe à réaliser la seconde condition objective de l'art. 90 al. 3 LCR, à savoir la création d'un danger abstrait qualifié, dès lors que l'atteinte de l'un des seuils visés à l'art. 90 al. 4</w:t>
      </w:r>
    </w:p>
    <w:p>
      <w:r>
        <w:t>- 6/14 - P/13860/2018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Il y a lieu d'en conclure que l'art. 90 al. 4 LCR crée une présomption réfragable de la réalisation de la condition objective du danger qualifié au sens de l'art. 90 al. 3 LCR(ATF 143 IV 508 consid. 1.6 = SJ 2018 I 277) 3.2.2.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 ATF 142 IV 137 consid. 3.3 p. 140 et les références ; arrêt du Tribunal fédéral 6B_136/2016 du 23 janvier 2017 consid. 2.1). Agit intentionnellement quiconque commet un crime ou un délit avec conscience et volonté. L'auteur agit déjà intentionnellement lorsqu'il tient pour possible la réalisation de l'infraction et l'accepte au cas où celle-ci se produirait (art. 12 al. 2 CP) (ATF 141 IV 369 consid. 6.3 p. 375 et les références ; arrêt du Tribunal fédéral 6B_136/2016 du 23 janvier 2017 consid. 2.1).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ATF 139 IV 250 consid. 2.3.1 p. 253 ; arrêts du Tribunal fédéral 6B_1102/2016 du 12 décembre 2017 consid. 2 ; 6B_174/2017 du 30 novembre 2017 consid. 1 in fine). Il faut en effet considérer que l'atteinte d'un desdits seuils implique généralement l'impossibilité d'éviter un grand risque d'accident en cas d'obstacle ou de perte de maîtrise du véhicule (ATF 142 IV 137 consid. 11.2 p. 151 ; arrêts du Tribunal fédéral 6B_1102/2016 du 12 décembre 2017 consid. 2 ; 6B_174/2017 du 30 novembre 2017 consid. 1 in fine).</w:t>
      </w:r>
    </w:p>
    <w:p>
      <w:r>
        <w:rPr>
          <w:b/>
        </w:rPr>
        <w:t>E. 3.3</w:t>
      </w:r>
    </w:p>
    <w:p>
      <w:r>
        <w:t>En matière de limitation de la vitesse, l'OCR contient en son art. 4a la règle fondamentale, déduite de l'art. 32 al. 2 LCR, et selon laquelle la limitation générale de vitesse à 50 km/h s'applique dans toute la zone bâtie de façon compacte à l'intérieur de la localité ; cette limitation commence au signal "Vitesse maximale 50, Limite générale" (2.30.1) et se termine au signal "Fin de la vitesse maximale 50, Limite générale" (2.53.1). La limitation générale de vitesse à 80 km/h est valable à partir du signal "Fin de la vitesse maximale 50, Limite générale" (2.53.1) ou "Fin de la vitesse maximale" (2.53) (art. 4a al. 3 OCR).</w:t>
      </w:r>
    </w:p>
    <w:p>
      <w:r>
        <w:t>- 7/14 - P/13860/2018 La notion de "zone bâtie de façon compacte" n'est utilisée par le législateur qu'à des fins de réduction de la vitesse, afin de définir les zones dans lesquelles la vitesse doit toujours être fixée à 50 km/h au maximum. En revanche, cette notion n'est pas utilisée a contrario : il ne suffit pas de sortir d'une zone bâtie de façon compacte pour que la limitation de la vitesse soit automatiquement relevée. En tout état de cause, le caractère bâti ou non n'est pas le seul critère pertinent pour s'affranchir de la limite générale de vitesse signalée à 50 km/h, puisque la seule hypothèse de relèvement de cette limitation générale de 50 km/h à 80 km/h sans signalisation idoine est celle d'une route secondaire au sens de l'art. 22 al. 4 OSR, qui ne prévoit pas ce critère. Ce mode de fixation de la limitation de vitesse procède à l'évidence de la volonté d'assurer une réglementation uniforme et la sécurité. S'il importe, en toute circonstance, que l'usager de la route réduise sa vitesse lorsqu'il pénètre dans une zone bâtie de façon compacte, afin de prévenir les accidents et dans le respect de la règle fondamentale de l'art. 26 LCR, l'inverse n'est pas vrai, et la sécurité publique n'impose ni ne prévoit que la vitesse puisse être augmentée sans signalisation idoine.</w:t>
      </w:r>
    </w:p>
    <w:p>
      <w:r>
        <w:rPr>
          <w:b/>
        </w:rPr>
        <w:t>E. 3.4</w:t>
      </w:r>
    </w:p>
    <w:p>
      <w:r>
        <w:t>En l'espèce, en circulant à 125 km/h, marge de sécurité déduite, sur une route dont la vitesse maximale autorisée est fixée à 50 km/h, l'appelant a commis un excès de vitesse de 75 km/h, soit un excès qualifié au sens de l'art. 90 al. 3 et 4 LCR et a violé une règle fondamentale de la sécurité routière. Il soutient que l'excès de vitesse en cause n'a pas créé un grand risque d'accident pouvant entrainer de graves blessures ou la mort dans la mesure où la limitation de vitesse n'avait pas pour objet la sécurité des usagers de la route et que l'excès de vitesse a eu lieu de nuit sur un tronçon de route traversant une zone industrielle qui, bien que vivante la journée, était déserte le soir. L'appelant ne saurait être suivi. La route de E______ traverse effectivement une zone industrielle et artisanale qui n'est toutefois pas composée uniquement d'entreprises, mais aussi de fermes, de magasins, d'habitations et d'un restaurant. Cette route relie la route de H______ et la route de I______, routes cantonales, à plusieurs communes et est ainsi susceptible d'être fréquentée, également la nuit. Il sied en outre de noter la présence d'une piste cyclable bi- directionnelle. L'excès de vitesse en cause a été réalisé à l'entrée de la zone industrielle, à proximité du restaurant, entre deux passages pour piétons et à quelques mètres après le panneau de signalisation indiquant une limitation de vitesse à 50 km/h. Au vu de ces éléments, force est de constater que la zone industrielle se trouve en localité et que la limitation de vitesse a pour but la sécurité routière. De plus, la présence du restaurant implique nécessairement, contrairement à ce qu'avance l'appelant, la présence de piétons, voire de cyclistes, en soirée, d'autant plus que les faits ont eu lieu en juin. L'appelant tente encore de justifier son excès de vitesse en expliquant avoir été "dans ses pensées" au moment des faits. Il admet ainsi ne pas avoir été suffisamment attentif à la route et à ses alentours alors que la situation, un important excès de vitesse de nuit, exigeait au moins une vigilance accrue. Le comportement de l'appelant a dès lors engendré un danger abstrait qualifié dans la mesure où il n'était pas, selon le cours ordinaire des choses et l'expérience de</w:t>
      </w:r>
    </w:p>
    <w:p>
      <w:r>
        <w:t>- 8/14 - P/13860/2018 la vie, à même d'éviter qu'un accident de la circulation ne se produise pour le cas où une personne ou un obstacle imprévu serait survenu d'un côté ou de l'autre de la route. En conséquence, le premier juge n'a pas violé le droit fédéral en retenant que la condition objective de la création d'un grand risque d'accident impliquant des blessures graves ou la mort était réalisée en l'espèce, compte tenu du très important excès de vitesse. L'appelant échoue aussi à démontrer l'existence de circonstances exceptionnelles permettant de retenir que l'infraction n'aurait pas été intentionnelle. Il ne saurait se prévaloir de ne s'être simplement pas rendu compte de son excès de vitesse, étant "dans ses pensées", et possédant une voiture rapide au volant de laquelle la vitesse ne se ressent pas. Son excès de vitesse est en effet très important, sur une route qu'il empruntait régulièrement depuis deux à trois mois. En circulant à 125 km/h (marge de sécurité déduite) sur un tronçon limité à 50 km/h, l'appelant a dû tenir pour possible le risque d'accident pouvant entrainer de graves blessures ou la mort et il s'en est accommodé. Il connaissait la puissance de sa voiture et ne pouvait ainsi ignorer que son véhicule était en mesure d'atteindre rapidement une vitesse élevée, ce qui prouve en outre qu'il a fortement accéléré. Partant, faute de circonstance particulière permettant d'écarter la réalisation des aspects subjectifs de l'infraction, la qualification retenue par le premier juge sera confirmée.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- 9/14 - P/13860/2018 4.1.2.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4.2.1. En l'occurrence, la faute de l'appelant est importante dans la mesure où il a violé les règles fondamentales de la circulation routière. Il a en effet dépassé la vitesse autorisée de 75 km/h, certes sur une courte durée, sur une route sèche, dans de bonnes conditions météorologiques et alors que le trafic était fluide, mais dans une localité, en soirée, sans se soucier du danger que représentait un tel comportement pour les autres usagers de la route. Bien que sa collaboration ait été plutôt bonne, l'appelant ayant reconnu les faits qui lui étaient reprochés et exprimé des regrets, sa prise de conscience reste imparfaite, ainsi qu'en témoignent ses dénégations sur le risque que pouvait entraîner ses actes dans le cas d'espèce. Il a agi égoïstement dans le seul but de soulager sa colère, cédant à son énervement vis à vis de sa compagne, ce qui ne saurait être excusé. Le premier juge a tenu compte de la bonne collaboration du prévenu et des regrets exprimés en prononçant la peine-plancher définie par la loi, à savoir une peine privative de liberté d'un an, peine qui apparait adéquate et conforme aux critères de l'art. 47 CP, et qui sera confirmée. Le sursis est acquis à l'appelant et le délai d'épreuve fixé à trois ans est adéquat. 4.2.2. Concernant l'infraction à la LStup, la faute de l'appelant n'est pas anodine. Au mépris de la législation, il a consommé du cannabis pendant de nombreuses années et en possédait encore le jour des faits, bien qu'en quantité limitée et toujours pour sa propre consommation. La collaboration de l'appelant et sa prise de conscience sont mauvaises, celui-ci étant revenu sur ses aveux initiaux pour tenter de se disculper.</w:t>
      </w:r>
    </w:p>
    <w:p>
      <w:r>
        <w:t>- 10/14 - P/13860/2018 Enfin, l'appelant a un antécédent spécifique, ayant été condamné en 2018 en Allemagne notamment pour possession de stupéfiants. L'amende de CHF 150.- et la peine privative de liberté de substitution fixée à un jour sont adéquates et conformes aux dispositions légales applicables, tout comme à la situation financière de l'appelant, ce qu'il ne conteste d'ailleurs pas. Elles seront donc confirmées.</w:t>
      </w:r>
    </w:p>
    <w:p>
      <w:r>
        <w:rPr>
          <w:b/>
        </w:rPr>
        <w:t>E. 4.1</w:t>
      </w:r>
    </w:p>
    <w:p>
      <w:r>
        <w:t>et 4.2 et BB.2015.85 du 12 avril 2016 consid. 3.5.2 et 3.5.3). Des exceptions demeurent possibles, charge à l'avocat de justifier l'ampleur d'opérations dont la couverture ne serait pas assurée par le forfait.</w:t>
      </w:r>
    </w:p>
    <w:p>
      <w:r>
        <w:t>6.1.4.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5</w:t>
      </w:r>
    </w:p>
    <w:p>
      <w:r>
        <w:t>L'appelant, qui succombe, supportera les frais de la procédure envers l'État, comprenant un émolument de CHF 1'500.- (art. 428 CPP).</w:t>
      </w:r>
    </w:p>
    <w:p>
      <w:r>
        <w:rPr>
          <w:b/>
        </w:rPr>
        <w:t>E. 6</w:t>
      </w:r>
    </w:p>
    <w:p>
      <w:r>
        <w:t>6.1.1.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6.1.2. Les séances internes entre le défenseur d'office et son stagiaire, par exemple, ne sont pas indemnisées par l'assistance juridique (AARP/57/2016 du 9 février 2016 consid. 7.2 et 7.3 ; AARP/307/2014 du 2 juillet 2014 ; AARP/20/2014 du 7 janvier 2014).</w:t>
      </w:r>
    </w:p>
    <w:p>
      <w:r>
        <w:t>- 11/14 - P/13860/2018</w:t>
      </w:r>
    </w:p>
    <w:p>
      <w:r>
        <w:t>6.1.3.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6.2</w:t>
      </w:r>
    </w:p>
    <w:p>
      <w:r>
        <w:t>En application des principes qui précèdent, la conférence client de 1h30 sera ramenée à 20 minutes, amplement suffisantes à ce stade de la procédure. De même, la préparation de la stagiaire à l'audience d'appel par Me C______ n'a pas à être indemnisée, la formation d'un stagiaire relevant de ses obligations de maitre de stage et n'étant pas à charge de l'Etat.</w:t>
      </w:r>
    </w:p>
    <w:p>
      <w:r>
        <w:t>En conclusion, l'indemnité sera arrêtée à CHF 597.04 correspondant à 20 minutes d'activité de chef d'étude au tarif de CHF 200.-/heure (soit CHF 66.70) et à 3h30 d'activité de stagiaire au tarif de CHF 110.-/heure (soit CHF 385.-), plus la majoration forfaitaire de 20% (CHF 90.34) et le forfait de déplacement (CHF 55.-). * * * * *</w:t>
      </w:r>
    </w:p>
    <w:p>
      <w:r>
        <w:t>- 12/14 - P/13860/2018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