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AARP/421/2015 vom 7. Oktober 2015</w:t>
      </w:r>
    </w:p>
    <w:p>
      <w:r>
        <w:t>GE Cour de justice, 2015-10-07, FR</w:t>
      </w:r>
    </w:p>
    <w:p>
      <w:r>
        <w:rPr>
          <w:b/>
        </w:rPr>
        <w:t xml:space="preserve">Quelle: </w:t>
      </w:r>
      <w:r>
        <w:t>https://mcp.opencaselaw.ch/entscheid/ge_gerichte_AARP_421_2015</w:t>
      </w:r>
    </w:p>
    <w:p>
      <w:r>
        <w:t>FR: GE_GERICHTE AARP/421/2015 du 7 octobre 2015</w:t>
      </w:r>
    </w:p>
    <w:p>
      <w:r>
        <w:t>IT: GE_GERICHTE AARP/421/2015 del 7 ottobre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w:t>
      </w:r>
    </w:p>
    <w:p>
      <w:r>
        <w:t>- 14/26 - P/14597/2011 l'administration des preuves du tribunal de première instance n'étant répétée que si l'une des hypothèses prévues au deuxième alinéa est réalisée, l'autorité de recours n'en administrant pas moins, d'office ou à la demande d'une partie, les preuves complémentaires nécessaires au traitement du recours (al. 3). Il s'ensuit que les faits et preuves nouveaux (vrais ou pseudo nova) doivent, en règle générale, être pris en considération autant qu'ils sont pertinents (A. KUHN / Y. JEANNERET (éds), Commentaire romand : Code de procédure pénale suisse,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6B_496/2012 du 18 avril 2013 consid. 6.1 ; arrêt du Tribunal fédéral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w:t>
      </w:r>
    </w:p>
    <w:p>
      <w:r>
        <w:rPr>
          <w:b/>
        </w:rPr>
        <w:t>E. 2.2</w:t>
      </w:r>
    </w:p>
    <w:p>
      <w:r>
        <w:t>La CPAR a, par ordonnance présidentielle OARP/200/2015 du 19 juin 2015, admis les réquisitions de preuves formulées par l'appelant, dont l'audition de D______, en tant qu'elle devait porter sur les circonstances liées à l'appel d'offre litigieux, demande d'audition réitérée à l'ouverture des débats, alors que celui-ci n'a pas déféré à sa citation de comparaître. L'appelant a motivé à l'audience sa demande d'audition pour que le témoin D______ s'exprime notamment sur les pourparlers intervenus entre la société plaignante et F______ SA en vue de fusion. Il apparait que les points sur lesquels devait être entendu ce témoin, outre qu'ils étaient sensiblement différents entre la déclaration d'appel et la motivation avancée à</w:t>
      </w:r>
    </w:p>
    <w:p>
      <w:r>
        <w:t>- 15/26 - P/14597/2011 l'audience, n'étaient pas indispensables pour trancher l'appel. Ces deux points ont en effet été suffisamment instruits, par l'audition du témoin P______ de la société E______ s'agissant de la publicité liée à leur appel d'offre, et par celles de la partie plaignante et du prévenu s'agissant des pourparlers en vue de fusion.</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Aux termes de l'art. 162 CP, se rend coupable de violation du secret de fabrication ou du secret commercial, celui qui aura révélé un tel secret alors qu'il était tenu de le garder en vertu d'une obligation légale ou contractuelle. L'infraction est réalisée lorsque la personne tenue au secret rend ce dernier accessible à une personne</w:t>
      </w:r>
    </w:p>
    <w:p>
      <w:r>
        <w:t>- 16/26 - P/14597/2011 non autorisée et que celle-ci en prend connaissance. (M. NIGGLI / H. WIPRÄCHTIGER, Basler Kommentar Strafrecht II : Art. 111-392 StGB, 2e éd., Bâle 2007, n. 20 ad art. 162). Corollairement, un verdict de culpabilité est exclu lorsque la personne tenue au secret utilise les informations à son propre profit (arrêt du Tribunal fédéral 6P.137/2006 du 23 novembre 2006 consid. 6.3.).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 il peut s'agir notamment de connaissances relatives à l'organisation, au calcul des prix, à la publicité, à la production et à la liste des clients (arrêt du Tribunal fédéral 6B_496/2007 du 9 avril 2008 consid. 5.1; ATF 118 Ib 559 consid. 5a ; ATF 109 Ib 47 consid. 5c; ATF 103 IV 284 consid. 2 b et les références citées ; B. CORBOZ, Les infractions en droit suisse, vol. I, 3e éd., Berne 2010 n. 8 ad art. 162 CP). Le Tribunal fédéral a toutefois jugé que des connaissances obtenues dans le cadre contractuel d'une activité au profit d'un tiers pouvaient être en principe librement utilisées et développées. L'amélioration des prestations fournies sur le marché par l'utilisation de compétences acquises de la sorte s'inscrivait dans le contexte d'une concurrence fonctionnelle (ATF 133 III 431 consid. 4.6, in JT 2008 I 34). L'infraction suppose que la révélation émane d'une personne tenue de garder le secret. Cette obligation peut résulter de la loi ou d'un contrat. Elle incombe en particulier aux administrateurs d'une société anonyme tenus à un devoir de fidélité et de diligence (art. 717 CO). Bien que la loi soit muette à ce sujet, la doctrine est d'avis que de ces obligations découle, notamment, un devoir de discrétion et de sauvegarde du secret des affaires (P. BÖCKLI, Schweizer Aktienrecht, 4e éd., Zürich 2009 § 13 N 673ss). L'infraction est intentionnelle (Corboz, op. cit., n. 16 ad art. 162 CP). 3.3.1. En l'espèce, il est indéniable, à teneur de la jurisprudence et de la doctrine rappelées supra, qu'un appel d'offre, adressé comme dans le cas présent, à deux sociétés seulement, doit être considéré comme un secret commercial au sens de l'art. 162 CP. En recevant un appel d'offre, la société a en effet connaissance d'un client potentiel, ce qui n'est pas le cas d'une société tierce concurrente qui se voit privée de faire une offre et partant de compter un nouveau client dans sa liste. La société qui reçoit l'appel d'offre a ainsi un avantage certain et un intérêt évident à garder secrets les besoins et demandes de ce client potentiel, autrement dit à garder par devers elle seule cette information jusqu'à si possible adjudication du mandat et partant incidence positive sur son chiffre d'affaires. Tel était précisément le cas de l'intimée lorsqu'elle a reçu l'appel d'offre de E______ le 1er septembre 2011, étant</w:t>
      </w:r>
    </w:p>
    <w:p>
      <w:r>
        <w:t>- 17/26 - P/14597/2011 précisé que G______ en a, quelques heures plus tard seulement, accusé réception et informé cette potentielle cliente qu'elle aurait un retour au plus vite. Il sera relevé que cet appel d'offre est bien parvenu sur la messagerie de la société intimée "contact@B______.com", et pas à l'adresse mail que l'appelant détenait à son nom auprès de cette société (A______@F______.com), et que le corps du texte ne laisse pas à penser qu'elle puisse s'adresser à une personne en particulier, qui aurait pu la faire suivre à qui bon lui semble, dont une entité concurrente, mais bien à la société plaignante. Ceci est corroboré par la teneur de l'échange de mails entre V______ et U______ précédant l'envoi de l'appel d'offre, où il est bien question de la société plaignante et de l'adresse de son site internet, l'appelant pouvant au surplus être contacté à son retour de déplacement professionnel pour obtenir si nécessaire plus de renseignements sur ladite société. 3.3.2. Nul doute que c'est bien l'appelant, à partir de son adresse mail auprès de la société F______ SA, qui a transmis le 5 septembre 2011 à R______ et D______ (en copie) de ladite société, l'appel d'offre de E______, ce qu'il a admis. A ce moment-là, il était administrateur de la société plaignante, ses pouvoirs n'ayant été radiés au registre du commerce que le 27 septembre 2011, et tenu par les obligations légales de fidélité et de diligence envers la société plaignante, telles que découlant des art. 321a al. 1 et 4 CO, par renvoi de l'art. 398 al. 1 CO, et 717 CO. Il était aussi contractuellement tenu par une convention de confidentialité signée le __ avril 2009 au terme de laquelle il s'était engagé à ne pas divulguer d'informations relatives aux clients, ainsi qu'aux partenaires de la plaignante et à ne pas exploiter ces informations, de manière directe ou indirecte, dans un but autre que pour la préparation et la réalisation de leurs évaluation et analyse. L'appelant, le contestant dans un premier temps, a fini par reconnaître être lié par cette convention, dont la validité n'a pas été remise en question, à juste titre, en appel, pour les motifs développés par le premier juge. L'appelant était en conséquence au moment des faits à double titre soumis au secret vis-à-vis des affaires de la plaignante. 3.3.3. L'appelant soutient que cette obligation de garder le secret était tombée de par les discussions en vue de fusion des sociétés B______ SA et F______ SA. Il sera relevé que dans ses premières auditions, l'appelant n'a nullement fait mention de ces pourparlers pour expliquer son comportement, avançant cet argument dans un second temps seulement, soit à l'occasion de sa seconde audition devant le Ministère public, le 30 janvier 2014, précédée encore d'une première audition à la police, ayant disposé alors de près de trois ans pour préparer sa défense et connaissant les éléments retenus par cette autorité pour fonder sa condamnation selon ordonnance pénale du ___ décembre 2013. Lors de ses deux premières auditions, il n'était bien au contraire</w:t>
      </w:r>
    </w:p>
    <w:p>
      <w:r>
        <w:t>- 18/26 - P/14597/2011 nullement question de fusion lorsqu'il a déclaré qu'il enverrait deux offres à E______ dans la mesure où il allait quitter B______ SA pour F______ SA, ce que le témoin P______ a confirmé pour l'avoir entendu de la bouche de l'appelant à l'occasion d'un entretien téléphonique. Il ressort par ailleurs de la procédure que les pourparlers en vue de fusion de ces deux sociétés avaient cessé début juillet 2011, aux dires de l'intimée, respectivement entre mi-août/début septembre 2011, selon celles de l'appelant. Ce dernier ne saurait trouver une justification à ses agissements du 5 septembre 2011 par le fait qu'il aurait au-delà continué seul ces pourparlers, prétendument dans l'intérêt de la société plaignante, alors même qu'il savait et reconnait que les autres administrateurs de ladite société avaient cessé toute discussion. La thèse avancée de la fusion est encore mise à mal par le fait que si la volonté de l'appelant avait bien été de faire profiter les deux sociétés de l'appel d'offre de E______, il n'aurait pas manqué de coordonner l'envoi des offres de B______ SA et de F______ SA SA, ce qui n'a manifestement pas été la cas puisque celle de B______ SA, datée du 19 septembre 2011, adressée à E______ par G______ a été précédée d'une semaine par celle de F______ SA, datée du 12 septembre 2011, et envoyée le lendemain par mail à E______, notamment au nom de l'appelant. Enfin, si l'on devait retenir, dans la situation la plus favorable à l'appelant, comme la partie plaignante l'a indiqué devant le juge de première instance avant de revenir sur cette affirmation devant la CPAR, que dans le cadre des pourparlers en vue de fusion des appels d'offre avaient été échangés entre les deux sociétés, cela n'autorisait pas encore l'appelant à poursuivre de tels échanges de documents au-delà-de la fin des pourparlers, à l'insu des administrateurs de la société intimée. Il est ainsi établi que si l'appelant a transmis le 5 septembre 2011 l'appel d'offre de E______ à une société concurrente de l'intimée, il ne l'a pas fait en vue d'une possible fusion, qui n'était plus d'actualité, mais bien pour amener un client à une société concurrente, qu'il avait pour projet de rejoindre et ce dans le but d'y avoir une position plus favorable. Ce faisant, il a violé son obligation de sauvegarde des intérêts de la société dont il était alors encore administrateur. C'est ainsi à juste titre que le premier juge l'a reconnu coupable d'infraction à l'art. 162 CP de sorte que le jugement sera confirmé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- 19/26 - P/14597/2011 dans laquelle celui-ci aurait pu éviter la mise en danger ou la lésion, compte tenu de sa situation personnelle et des circonstances extérieures (al. 2).</w:t>
      </w:r>
    </w:p>
    <w:p>
      <w:r>
        <w:rPr>
          <w:b/>
        </w:rPr>
        <w:t>E. 4.2</w:t>
      </w:r>
    </w:p>
    <w:p>
      <w:r>
        <w:t>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w:t>
      </w:r>
    </w:p>
    <w:p>
      <w:r>
        <w:rPr>
          <w:b/>
        </w:rPr>
        <w:t>E. 4.3</w:t>
      </w:r>
    </w:p>
    <w:p>
      <w:r>
        <w:t>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1- 100 CP, Bâle 2009, n. 84 ad art. 49). L'auteur est donc "condamné", au sens de l'art. 49 al. 2 CP, dès l'instant du prononcé du jugement et non pas seulement au moment de son entrée en force ; il faut cependant que cette entrée en force intervienne par la suite (ATF 127 IV 106 consid. 2c).</w:t>
      </w:r>
    </w:p>
    <w:p>
      <w:r>
        <w:t>- 20/26 - P/14597/2011</w:t>
      </w:r>
    </w:p>
    <w:p>
      <w:r>
        <w:rPr>
          <w:b/>
        </w:rPr>
        <w:t>E. 4.5</w:t>
      </w:r>
    </w:p>
    <w:p>
      <w:r>
        <w:t>En l'espèce, comme retenu à juste titre par le premier juge, la faute du prévenu n'est pas négligeable. Il s'en est pris à l'intégrité économique de la société détentrice du secret, dont il était l'un des administrateurs et à ce titre se devait de protéger les intérêts. Il l'a fait par pur appât du gain et dans le but égoïste de favoriser une société concurrente qu'il s'apprêtait à rejoindre, afin d'y jouir d'emblée d'une position favorable en lui ayant amené un client. Il disposait alors d'une totale liberté d'action et de décision et rien, en particulier dans sa situation personnelle, ne justifiait ses agissements. Il n'a pris aucune conscience du caractère illicite de ses actes, du moins c'est ce qui peut apparaître de ses déclarations fluctuantes dans la procédure et de ses dénégations jusqu'en phase d'appel. En prononçant une peine pécuniaire de 30 jours-amende, le premier juge n'a pas tenu compte de la condamnation de l'appelant du ___ octobre 2014, entrée en force le ___ mars 2015 à teneur de l'extrait de casier judiciaire du 22 septembre 2015. Il n'en reste pas moins que bien que complémentaire, ladite peine reste adéquate de sorte qu'elle sera confirmée. Si le juge de première instance avait en effet eu à connaître des deux complexes de faits en même temps, le prononcé d'une peine de 60 jours- amende aurait été justifié. Le montant du jour-amende, au demeurant non discuté en appel, sera maintenu à CHF 30.- dans la mesure où l'appelant n'a fourni en phase d'appel aucun document relatif à sa situation financière se contentant simplement d'affirmer qu'il n'a plus de fortune, que de très faible revenus, est logé gratuitement et que son ex-épouse pourvoit à l'entretien de leur enfant. Le sursis reste acquis à l'appelant, étant au demeurant conforme aux éléments de la procédure et le délai d'épreuve arrêté à deux ans en première instance de nature à le dissuader de la commission de nouvelles infractions.</w:t>
      </w:r>
    </w:p>
    <w:p>
      <w:r>
        <w:rPr>
          <w:b/>
        </w:rPr>
        <w:t>E. 5.1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w:t>
      </w:r>
    </w:p>
    <w:p>
      <w:r>
        <w:t>La partie plaignante a obtenu gain de cause au sens de cette disposition lorsque le prévenu a été condamné et/ou si les prétentions civiles ont été admises (M. NIGGLI / M. HEER / H. WIPRÄCHTIGER, Schweizerische Straf- prozessordnung / Schweizerische Jugendstrafprozessordnung, Basler Kommentar</w:t>
      </w:r>
    </w:p>
    <w:p>
      <w:r>
        <w:t>- 21/26 - P/14597/2011 StPO/JstPO, Bâle 2011, n. 6 ad art. 433 ; N. SCHMID, Schweizerische Strafprozessordnung : Praxis-kommentar,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Commentaire romand : Code de procédure pénale suisse, Bâle 2011, n. 8 ad art. 433 ; N. SCHMID, op. cit., n. 3 ad art. 433).</w:t>
      </w:r>
    </w:p>
    <w:p>
      <w:r>
        <w:t>Les frais d'avocat, pour autant qu'ils soient proportionnés, se calculent selon le tarif applicable (N. SCHMID, op. cit., n. 7 ad art. 429 CPP ; F. RIKLIN, StPO Kommentar Eidgenössische Strafprozessordnung, Zurich 2010, n. 3 ad art. 429 CPP). Celui-ci doit être déterminé en fonction du montant usuellement reconnu au lieu où se déroule la procédure (J. PITTELOUD, Code de procédure pénale suisse - Commentaire à l'usage des praticiens,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A Genève, la Commission de taxation admet dans les affaires ordinaires un tarif horaire de CHF 450.- pour un avocat chef d'Étude (cf. AARP/125/2012 du 30 avril 2012 consid. 4.4.). 5.2.1. En l'espèce, B______ SA sollicite le versement d'une indemnité pour les dépenses occasionnées par la procédure d'appel et conteste le montant de l'indemnité qui lui a été allouée par le premier juge pour celles en lien avec la procédure de première instance.</w:t>
      </w:r>
    </w:p>
    <w:p>
      <w:r>
        <w:t>S'agissant des dépenses liées à la procédure de première instance, le premier juge a limité le montant de l'indemnité à CHF 3'500.-, sur les CHF 10'804.20 plus intérêts réclamés selon note d'honoraires du ___ mars 2015, retenant le tarif horaire appliqué de CHF 450.- comme conforme à la jurisprudence, mais revoyant l'activité déployée à la baisse pour la limiter à celle concernant E______ et l'instruction liée à l'infraction à l'art. 162 CP, écartant autrement dit celle relative à l'infraction de concurrence déloyale pour laquelle l'appelant n'a pas été poursuivi. Ce faisant, le Tribunal de police a réduit de près de 35% les honoraires de Me C______.</w:t>
      </w:r>
    </w:p>
    <w:p>
      <w:r>
        <w:t>A teneur de la note d'honoraires litigieuse, l'activité liée à la plainte déposée par B______ SA le ___ octobre 2011 semble avoir débuté le ___ mars 2012, par un</w:t>
      </w:r>
    </w:p>
    <w:p>
      <w:r>
        <w:t>- 22/26 - P/14597/2011 entretien avec la cliente. Tout ce qui précède, en particulier des correspondances avec ______, ______ et l'appelant semble sortir du cadre de la présente procédure et ne sera pas retenu, ce qui représente 3h05' d'activité. Dans sa plainte du ___ octobre 2011, B______ SA avait dénoncé non seulement le contexte de fait lié à l'appel d'offre de E______, mais également ceux afférents au J______ et une société W______, lesquels ont fait l'objet d'une décision de non entrée en matière dans l'ordonnance pénale du ___ décembre 2013. Dès lors, les dépenses antérieures au classement partiel de la plainte de l'appelante jointe devront être réduites dans une juste proportion, seule une partie d'entre elles ayant trait à l'infraction pour laquelle elle a obtenu gain de cause. Cette proportion sera estimée à 1/3 et concerne les prestations comptabilisées du ___ mars 2012 au ___ septembre 2013 inclusivement, représentant un montant de CHF 3'888.- hors TVA, et de CHF 2'592.- après déduction du 1/3. Les prestations du 8 janvier 2014 au 16 mars 2015 sont justifiées et devraient être indemnisées pleinement, ce qui représente un montant total de CHF 5'103.-. Dans la mesure toutefois où la CPAR est liée par les conclusions prises en appel par la partie plaignante, c'est un montant de CHF 7'000.- plus TVA que A______ sera condamné à verser à B______ SA, pour ses dépenses liées à la procédure de première instance. Le jugement entrepris sera dès lors réformé sur ce point. S'agissant de ses dépenses en lien avec la procédure d'appel, le principe d'une indemnisation doit être admis dès lors que l'intimée et appelante jointe obtient gain de cause, la condamnation de l'appelant A______ étant confirmée et le jugement réformé s'agissant des dépenses liées à la procédure de première instance.</w:t>
      </w:r>
    </w:p>
    <w:p>
      <w:r>
        <w:t>B______ SA a produit le ___ septembre 2015 une note d'honoraires en lien avec ses dépenses en appel correspondant à une activité nécessaire et justifiée, si ce n'est que la durée de l'audience du 28 septembre 2015 sera ramenée à 1h35'.</w:t>
      </w:r>
    </w:p>
    <w:p>
      <w:r>
        <w:t>Au total, c'est un montant de CHF 3'766.50 que l'appelant A______ sera condamné à verser à B______ SA pour les dépenses liées à la procédure d'appel, correspondant à un total de 7h45' indemnisées au taux horaire de CHF 450.-, soit CHF 3'487.50, auquel il convient de rajouter la TVA à 8%, soit CHF 279.-.</w:t>
      </w:r>
    </w:p>
    <w:p>
      <w:r>
        <w:rPr>
          <w:b/>
        </w:rPr>
        <w:t>E. 6</w:t>
      </w:r>
    </w:p>
    <w:p>
      <w:r>
        <w:t>Vu l'issue de la procédure, l'appelant sera débouté de ses conclusions en indemnisation (art. 429 CPP).</w:t>
      </w:r>
    </w:p>
    <w:p>
      <w:r>
        <w:rPr>
          <w:b/>
        </w:rPr>
        <w:t>E. 7</w:t>
      </w:r>
    </w:p>
    <w:p>
      <w:r>
        <w:t>L'appelant, qui succombe, supportera les frais de la procédure envers l'Etat, comprenant un émolument de CHF 2'500.- (art. 428 CPP). * * * * *</w:t>
      </w:r>
    </w:p>
    <w:p>
      <w:r>
        <w:t>- 23/26 - P/14597/2011</w:t>
      </w:r>
    </w:p>
    <w:p>
      <w:r>
        <w:t>- 24/26 - P/14597/2011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