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AARP/420/2020 vom 17. Dezember 2020</w:t>
      </w:r>
    </w:p>
    <w:p>
      <w:r>
        <w:t>GE Cour de justice, 2020-12-17, FR</w:t>
      </w:r>
    </w:p>
    <w:p>
      <w:r>
        <w:rPr>
          <w:b/>
        </w:rPr>
        <w:t xml:space="preserve">Quelle: </w:t>
      </w:r>
      <w:r>
        <w:t>https://mcp.opencaselaw.ch/entscheid/ge_gerichte_AARP_420_2020</w:t>
      </w:r>
    </w:p>
    <w:p>
      <w:r>
        <w:t>FR: GE_GERICHTE AARP/420/2020 du 17 décembre 2020</w:t>
      </w:r>
    </w:p>
    <w:p>
      <w:r>
        <w:t>IT: GE_GERICHTE AARP/420/2020 del 17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Au sens de l'art. 291 CP,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w:t>
      </w:r>
    </w:p>
    <w:p>
      <w:r>
        <w:t>2.1.2 Selon l'art. 19a ch. 1 LStup, celui qui, sans droit, aura consommé intentionnellement des stupéfiants ou celui qui aura commis une infraction à l'art. 19 pour assurer sa propre consommation est passible de l'amende.</w:t>
      </w:r>
    </w:p>
    <w:p>
      <w:r>
        <w:rPr>
          <w:b/>
        </w:rPr>
        <w:t>E. 2.2</w:t>
      </w:r>
    </w:p>
    <w:p>
      <w:r>
        <w:t>En l'espèce, la culpabilité de l'appelant, n'est à juste titre, pas contestée. Partant, sa condamnation des chefs d'infractions aux art. 291 CP et 19a ch. 1 LStup sera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t>- 6/13 - P/11820/2020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3.1.3. Selon l'art. 42 al. 2 CP, si, durant les cinq ans qui précèdent l'infraction, l'auteur a été condamné à une peine privative de liberté ferme ou avec sursis de plus de</w:t>
      </w:r>
    </w:p>
    <w:p>
      <w:r>
        <w:t>- 7/13 - P/11820/2020 six mois, il ne peut y avoir de sursis à l'exécution de la peine qu'en cas de circonstances particulièrement favorables.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1er juin 2017 consid. 4.2 ; 6B_510/2010 du 4 octobre 2010 consid. 1.2.2). Seuls les antécédents judiciaires de l'intimé qui sont inscrits à son</w:t>
      </w:r>
    </w:p>
    <w:p>
      <w:r>
        <w:t>- 8/13 - P/11820/2020 casier judiciaire doivent être pris en considération, à l'exclusion des inscriptions éliminées ou de condamnations non inscrites (art. 369 al. 7 CP ; ATF 135 IV 87 ; arrêt du Tribunal fédéral 6B_42/2018 du 17 mai 2018 consid. 1.4). 3.2.1. En l'espèce, la faute de l'appelant n'est pas légère. Il a pénétré sur le territoire suisse alors qu'il savait faire l'objet de trois mesures d'expulsion judiciaire, dont l'une d'une durée de 20 ans, et avait par ailleurs été renvoyé de Suisse le 25 juin 2020, soit une dizaine de jours à peine avant les faits. Son comportement est certainement lié à sa dépendance, mais n'en démontre pas moins son incapacité à respecter les décisions rendues à son encontre, auxquelles il a contrevenu pour assouvir sa toxicomanie alors même qu'il bénéficiait d'un traitement de substitution et d'un encadrement. De telles infractions, sans, en effet, porter atteinte à des biens majeurs individuels de l'ordre juridique suisse, n'en nuisent pas moins à l'autorité dont doivent bénéficier ses décisions et règles, sans préjudice de la mobilisation des nombreux acteurs appelés à en prévenir et réprimer la violation, au détriment de leurs autres tâches et aux frais du contribuable. Il sera concédé à l'appelant que, dans le cas d'un toxicomane qui commet une rupture de ban pour satisfaire son addiction, on ne peut pas véritablement parler de "convenance personnelle". Néanmoins, le mobile demeure centré sur les besoins propres de l'intéressé. Sa collaboration a été moyenne s'agissant de la rupture de ban, dans la mesure où il ne pouvait guère nier l'évidence. Elle est en revanche bonne en ce qui concerne la consommation de stupéfiant, qui repose sur ses seules déclarations. Lors des débats d'appel, les regrets exprimés ont semblé sincères. L'appelant a de très nombreux antécédents, dont plusieurs spécifiques.</w:t>
      </w:r>
    </w:p>
    <w:p>
      <w:r>
        <w:t>3.2.2. Les conditions d'une exemption de peine ne sont pas réalisées. Contrairement à ce qui a été plaidé, la rupture de ban, même aux fins d'une incursion de faible durée sur le territoire suisse, n'est pas sans conséquence pour l'ordre juridique. Elle l'est d'autant moins en l'occurrence que l'appelant a contrevenu à non pas une mais trois décisions d'expulsion et qu'il l'a fait dans l'objectif d'acquérir et consommer de l'héroïne, soit de commettre une autre infraction, certes de nature contraventionnelle, mais qui alimente le fléau que constitue le trafic, sans compter les nuisances pour les citoyens, tels, dans le cas d'espèce, les occupants de l'immeuble dans lequel l'appelant s'est endormi après avoir consommé. L'intérêt à punir subsiste également dans la mesure où il s'impose de répéter un signal clair. 3.2.3. Au regard de l'importance de la faute telle que définie ci-dessus, il n'y a pas non plus de place pour une réduction des sanctions infligées. Un poids particulier</w:t>
      </w:r>
    </w:p>
    <w:p>
      <w:r>
        <w:t>- 9/13 - P/11820/2020 devant être donné à la condamnation prononcée contre l'appelant, quelques jours seulement avant les faits du 3 juillet 2020. La répétition d'infractions en un si court laps de temps, qui suivent elles-mêmes de peu la dernière sortie de prison de l'intéressé, démontre qu'à l'été 2020, ses efforts pour se réinsérer n'avaient pas, ou quasiment pas, eu de résultats. La peine infligée par le TP s'avère ainsi adéquate, au jour du prononcé du jugement, quand bien même cette juridiction n'avait pas connaissance de ladite condamnation, inscrite plus récemment au casier judiciaire. Depuis les débats de première instance, un début de chemin semble avoir été accompli, mais il ne se traduit encore pas par des résultats concrets, qui justifieraient un réexamen à la baisse de cette peine ou de l'amende. En particulier, l'accueil dans un centre résidentiel thérapeutique évoqué en audience, qui serait sans doute une bonne solution, n'a pas été mis en place. Du reste, une telle solution ne pourrait être envisagée avant que l'appelant n'ait purgé la dernière sanction inscrite à son casier judiciaire. Les conditions du sursis ne sont pas réalisées non plus, le pronostic ne pouvant être qualifié, en l'état, que de défavorable, et en tout cas pas de particulièrement favorable, étant rappelé que l'appelant a été condamné à une peine privative de liberté de neuf mois le 1er mars 2018. Le projet de déménagement auprès de sa famille à E______ (France) afin d'éloigner l'appelant du centre genevois et de ses tentations constitue, certes, une avancée positive mais comme il le reconnaît lui- même, les rechutes sont fréquentes et la distance ne serait, dans ce cas, pas de nature à le dissuader de retourner en Suisse. L'appelant bénéficiait d'ailleurs déjà d'un soutien thérapeutique et médicamenteux le 3 juillet 2020.</w:t>
      </w:r>
    </w:p>
    <w:p>
      <w:r>
        <w:rPr>
          <w:b/>
        </w:rPr>
        <w:t>E. 3.3</w:t>
      </w:r>
    </w:p>
    <w:p>
      <w:r>
        <w:t>Il s'ensuit que l'appel est rejeté.</w:t>
      </w:r>
    </w:p>
    <w:p>
      <w:r>
        <w:rPr>
          <w:b/>
        </w:rPr>
        <w:t>E. 4</w:t>
      </w:r>
    </w:p>
    <w:p>
      <w:r>
        <w:t>L'appelant, qui succombe, supportera les frais de la procédure envers l'Etat (art. 428 CPP).</w:t>
      </w:r>
    </w:p>
    <w:p>
      <w:r>
        <w:rPr>
          <w:b/>
        </w:rPr>
        <w:t>E. 5.1</w:t>
      </w:r>
    </w:p>
    <w:p>
      <w:r>
        <w:t>Selon l'art. 135 al. 1 CPP, le défenseur d'office ou le conseil juridique gratuit (cf. art. 138 al. 1 CPP) est indemnisé conformément au tarif des avocats de la Confédération ou du canton du for du procès. L'art. 16 du règlement sur l'assistance juridique (RAJ) prescrit que l'indemnité, en matière pénale, est calculée selon le tarif horaire suivant, débours de l'étude inclus : avocat stagiaire CHF 110.- (let. a) ; chef d'étude CHF 200.- (let. c).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w:t>
      </w:r>
    </w:p>
    <w:p>
      <w:r>
        <w:t>- 10/13 - P/11820/2020 d'une défense d'office ou de l'assistance judiciaire (décision de la Cour des plaintes du Tribunal pénal fédéral BB.2013.22 du 31 octobre 2013 consid. 5.2.3). L'activité consacrée aux conférences, audiences et autres actes de la procédure est majorée de 20% jusqu'à 30 heures de travail (arrêt du Tribunal fédéral 6B_838/2015 du 25 juillet 2016 consid. 3.5.2). Outre les entretiens téléphoniques, les communications et courriers divers sont en principe inclus dans ce forfait (AARP/182/2016 du 3 mai 2016 consid. 3.2.2 ; AARP/501/2013 du 28 octobre 2013) de même que l'établissement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Il en va de même de la lecture d'un jugement de quelques pages (AARP/142/2016 du 14 avril 2016 consid. 5.4.1, AARP/281/2015 du 25 juin 2015 et AARP/272/2015 du 1er juin 2015) ou de la confection de bordereaux de pièces (AARP/164/2016 du 14 avril 2016 consid. 6.3 ; AARP/102/2016 du 17 mars 2016 ; AARP/300/2015 du 16 juillet 2015.</w:t>
      </w:r>
    </w:p>
    <w:p>
      <w:r>
        <w:rPr>
          <w:b/>
        </w:rPr>
        <w:t>E. 5.2</w:t>
      </w:r>
    </w:p>
    <w:p>
      <w:r>
        <w:t>En l'occurrence, il y a donc lieu de retrancher des états de frais, outre l'entretien téléphonique avec le client, les 20 minutes consacrées à l'analyse du jugement motivé du TP, les quatre heures d'activité de l'avocate-stagiaire pour la rédaction de la déclaration d'appel de même que le temps de correction de ce document par son maître de stage - sans préjudice de ce que l'assistance judiciaire n'a pas pour vocation de pourvoir à la formation -, l'émission de courriers et l'établissement de bordereaux de titres, toutes ces activités étant couvertes par le forfait. Il sera donc admis deux heures et 15 minutes de travail du conseil d'office pour l'étude du dossier et la préparation de l'audience d'appel, ainsi qu'une heure et 30 minutes pour la visite à B______. La durée d'une heure et 15 minutes de l'audience d'appel sera ajoutée, tout comme le montant de CHF 100.- pour la vacation y relative.</w:t>
      </w:r>
    </w:p>
    <w:p>
      <w:r>
        <w:t>En conclusion, la rémunération sera arrêtée à CHF 1'400.10 pour cinq heures d'activité de cheffe d'étude au tarif horaire de CHF 200.-/h (CHF 1'000.-), la majoration forfaitaire de 20% (CHF 200.-), la vacation (CHF 100.-), et la TVA au taux de 7.7% (CHF 100.10).</w:t>
      </w:r>
    </w:p>
    <w:p>
      <w:r>
        <w:t>- 11/13 - P/11820/2020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