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AARP/420/2015 vom 24. September 2015</w:t>
      </w:r>
    </w:p>
    <w:p>
      <w:r>
        <w:t>GE Cour de justice, 2015-09-24, FR</w:t>
      </w:r>
    </w:p>
    <w:p>
      <w:r>
        <w:rPr>
          <w:b/>
        </w:rPr>
        <w:t xml:space="preserve">Quelle: </w:t>
      </w:r>
      <w:r>
        <w:t>https://mcp.opencaselaw.ch/entscheid/ge_gerichte_AARP_420_2015</w:t>
      </w:r>
    </w:p>
    <w:p>
      <w:r>
        <w:t>FR: GE_GERICHTE AARP/420/2015 du 24 septembre 2015</w:t>
      </w:r>
    </w:p>
    <w:p>
      <w:r>
        <w:t>IT: GE_GERICHTE AARP/420/2015 del 24 settembre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Aux termes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t>2.1.1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(cf. ATF 119 IV 210 consid. 3 p. 212).</w:t>
      </w:r>
    </w:p>
    <w:p>
      <w:r>
        <w:t>- 6/14 – P/13728/2012</w:t>
      </w:r>
    </w:p>
    <w:p>
      <w:r>
        <w:t>2.1.2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 dire par ses paroles ou par ses actes, il ait confirmé la dupe dans son erreur ; cette hypothèse se distingue des deux précédentes en ce sens que l'erreur est préexistante (arrêts du Tribunal fédéral 6S.18/2007 du 2 mars 2007 consid. 2.1.1. et 6S.380/2001 du 13 novembre 2001 consid. 2b/aa non publié à l'ATF 128 IV 255 et les références citées).</w:t>
      </w:r>
    </w:p>
    <w:p>
      <w:r>
        <w:t>2.1.3 Pour qu'il y ait escroquerie, une simple tromperie ne suffit cependant pas ; il faut qu'elle soit astucieuse. Il y a astuce lorsque l'auteur recourt à des manœuvres frauduleuses, à une mise en scène comportant des documents ou des actes ou à un échafaudage de mensonges qui se recoupent de façon si raffinée que même une victime critique se laisserait tromper (ATF 135 IV 76 consid. 5.2 p. 79 ; ATF 122 IV 197 consid. 3d p. 205). Il y a ainsi manœuvre frauduleuse, par exemple, si l'auteur emploie un document faux ou fait intervenir, à l'appui de sa tromperie, un tiers participant ou manipulé. L'astuce sera également retenue si, en fonction des circonstances, une vérification ne pouvait pas être exigée de la dupe (ATF 126 IV 165 consid. 2a p. 171). Cette hypothèse vise en particulier les opérations courantes, de faible valeur, pour lesquelles une vérification entraînerait des frais ou une perte de temps disproportionnée ou ne peut être exigée pour des raisons commerciales. L'astuce sera également admise lorsque l'auteur exploite un rapport de confiance préexistant propre à dissuader la dupe d'effectuer certaines vérifications (ATF 126 IV 165 consid. 2a p. 171 ; 125 IV 124 consid. 3a p. 127 s. et les arrêts cités).</w:t>
      </w:r>
    </w:p>
    <w:p>
      <w:r>
        <w:t>2.1.4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Par ailleurs, en présence d'une loi cantonale sur l'assistance sociale qui prescrit aux ayants droit de communiquer tout changement dans leur situation financière, l'autorité satisfait à son devoir de diligence en attirant expressément l'attention des bénéficiaires sur cette obligation, les impératifs de discrétion et de respect de la dignité des assistés, auxquels sont tenus les services</w:t>
      </w:r>
    </w:p>
    <w:p>
      <w:r>
        <w:t>- 7/14 – P/13728/2012 sociaux, empêchant de plus amples vérifications. Ainsi, celui qui encaisse des prestations d'aide sociale sans annoncer ses revenus accessoires commet une tromperie astucieuse, ce qui est évidemment également le cas si le bénéficiaire omet d'annoncer un changement dans sa situation (ACJP/231/2010 du 22 novembre 2010 consid. 2.1).</w:t>
      </w:r>
    </w:p>
    <w:p>
      <w:r>
        <w:t>2.1.5 Le juge pénal n'a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p. 20 et les arrêts cités).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 ; ATF 128 IV 18 consid. 3a p. 21 ; arrêt du Tribunal fédéral 6S.168/2006 du 6 novembre 2006 consid. 1.3.). L'astuce ne peut donc être niée que si la tromperie pouvait être empêchée par des précautions qui peuvent être qualifiées d'élémentaires dans la situation de la dupe. Le principe de coresponsabilité ne saurait cependant être utilisé pour nier trop aisément le caractère astucieux de la tromperie (ATF 128 IV 18 consid. 3a p. 20 s. ; arrêt du Tribunal fédéral 6B_100/2015 du 12 mars 2015 consid. 2.1).</w:t>
      </w:r>
    </w:p>
    <w:p>
      <w:r>
        <w:t>2.1.6 Enfin, pour que le crime d'escroquerie soit consommé, l'erreur dans laquelle la tromperie astucieuse a mis ou conforté la dupe doit avoir déterminé celle-ci à accomplir un acte préjudiciable à ses intérêts pécuniaires, ou à ceux d'un tiers. Il n'est pas nécessaire que l'acte de la dupe cause un dommage définitif ; un préjudice temporaire ou provisoire suffit.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p. 281 et 121 IV 104 consid. 2c p. 107 s). Lorsque la dupe porte préjudice non pas à ses propres intérêts mais à ceux d'un tiers, la réalisation de l'escroquerie nécessite que la dupe soit responsable du patrimoine visé et au moins qu'elle puisse en disposer effectivement (ATF 133 IV 171 consid. 4.3 p. 175).</w:t>
      </w:r>
    </w:p>
    <w:p>
      <w:r>
        <w:t>- 8/14 – P/13728/2012</w:t>
      </w:r>
    </w:p>
    <w:p>
      <w:r>
        <w:t>2.1.7 Sur le plan subjectif, l'escroquerie est une infraction intentionnelle. Conformément aux règles générales, l'intention doit porter sur l'ensemble des éléments constitutifs objectifs de l'infraction. S'agissant d'une escroquerie, il faut en particulier que l'auteur ait eu l'intention de commettre une tromperie astucieuse (cf. ATF 128 IV 18 consid. 3b p. 21). L'auteur doit en outre avoir agi dans le dessein de se procurer ou de procurer à un tiers un enrichissement illégitime, soit un avantage patrimonial correspondant au désavantage patrimonial constituant le dommage (ATF 134 IV 210 consid. 5.3 p. 213 s.)</w:t>
      </w:r>
    </w:p>
    <w:p>
      <w:r>
        <w:t>2.2.1 En l'occurrence, les variations dans les déclarations de l'appelant et l'incohérence de la démarche permettent de retenir que celui-ci avait d'emblée l'intention d'obtenir une prestation extraordinaire de l'Hospice général, l'acquisition d'un frigidaire n'étant qu'un prétexte. L'appelant a en effet donné des explications fluctuantes tant sur le motif que sur le moment de la restitution du frigidaire. Il a admis devant le Ministère public avoir sollicité la prestation parce qu'il avait besoin d'argent pour payer une peine pécuniaire et n'a pas même rendu plausible l'acquisition d'un appareil de seconde main, aucune facture n'ayant été produite. Il n'a pas spontanément annoncé à l'Hospice général ses prétendus changements de plan, ses déclarations au sujet de ce qu'il avait dit à la personne en charge du dossier n'étant pas crédibles. Il faut retenir de ce qui précède que l'appelant a affirmé un fait dont il connaissait la fausseté dès le départ, ce qui est constitutif d'une tromperie par affirmation fallacieuse.</w:t>
      </w:r>
    </w:p>
    <w:p>
      <w:r>
        <w:t>2.2.2 La version de l'intéressé relative aux cours de français n'emporte pas plus la conviction, tant il semble invraisemblable que C______ laisse l'inscription à un cours ouverte et en encaisse le prix alors même que celui-ci serait complet. Dans l'éventualité où cette hypothèse devait être suivie, et comme le souligne le premier juge, l'inscription sous condition de désistement aurait figuré sur le relevé produit à l'Hospice général. S'agissant de la seconde inscription, se pose la question de savoir si l'appelant avait réellement l'intention d'y participer, ce qui exclurait une tromperie par affirmation fallacieuse ou si celle-ci a été faite dans le but de conforter la dupe dans son erreur. Le court laps de temps qui sépare la seconde inscription de la production de la facture à l'Hospice général ainsi que les déclarations inconstantes quant aux raisons de son annulation démontrent plutôt qu'elle n'avait d'autre but que de conforter la dupe dans son erreur en cas de contrôle. Ces éléments indiquent que l'appelant n'a jamais entendu assister à ces cours et qu'il avait d'emblée l'intention de détourner l'argent consenti en affirmant un fait dont il connaissait la fausseté, ce qui est également constitutif d'une tromperie par affirmations fallacieuses.</w:t>
      </w:r>
    </w:p>
    <w:p>
      <w:r>
        <w:t>2.2.3 Le court intervalle de temps dans lequel ont eu lieu ces incidents, ainsi que la manière semblable dont ils se sont produits, sont une preuve supplémentaire de l'intention dolosive de l'appelant.</w:t>
      </w:r>
    </w:p>
    <w:p>
      <w:r>
        <w:t>- 9/14 – P/13728/2012</w:t>
      </w:r>
    </w:p>
    <w:p>
      <w:r>
        <w:t>2.2.4 Il reste à examiner si ces tromperies comportaient une astuce et si l'Hospice général en usant des précautions élémentaires nécessaires aurait pu s'en prémunir. L'Hospice général avait fait signer un engagement à l'intéressé, dans lequel son attention était attirée sur le fait qu'il devait leur annoncer tout renseignement utile. L'appelant a produit des factures relatives aux prestations sollicitées, de sorte que l'Hospice général ne les a octroyées qu'après avoir eu la preuve de l'affectation adéquate des prestations requises. Il ne peut pas non plus être reproché à l'Hospice général d'avoir fait preuve de légèreté envers l'intéressé au regard de ses condamnations pour escroquerie, puisqu'il a précisément opéré des contrôles téléphoniques auprès des prestataires concernés pour s'assurer de la véracité des allégations de l'appelant. Ces contrôles lui ont permis de découvrir après coup qu'il avait été trompé. Il ne peut être raisonnablement exigé de l'Hospice général qu'il contrôle systématiquement si ses bénéficiaires ont obtenu le remboursement de prestations sollicitées. Les précautions prises par l'Hospice satisfont aux exigences de la jurisprudence, de sorte que la condition de l'astuce est réalisée.</w:t>
      </w:r>
    </w:p>
    <w:p>
      <w:r>
        <w:t>Il convient ainsi de confirmer le jugement dont est appel dans la mesure où il reconnait l'appelant coupable d'escroquerie au sens de l'art. 146 CP.</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3.1.2 Conformément à l'art. 34 CP, la peine pécuniaire est fixée en jours-amende dont le tribunal fixe le nombre en fonction de la culpabilité de l'auteur (al. 1). Un jour-amende est de CHF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t>3.1.3 Au terme de l'art. 42 ch.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w:t>
      </w:r>
    </w:p>
    <w:p>
      <w:r>
        <w:t>- 10/14 – P/13728/2012</w:t>
      </w:r>
    </w:p>
    <w:p>
      <w:r>
        <w:t>3.1.4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tous les faits propres à définir son caractère et les chances d'amendement. Tous les éléments pertinents doivent être pris en considération et conduire à une appréciation d'ensemble et il n'est pas admissible d'accorder un poids particulier à certains critères et d'en négliger d'autres qui sont pertinents. Un large pouvoir d'appréciation est laissé au juge de répression sur ce point (ATF 128 IV 193 consid. 3a ; arrêt du Tribunal fédéral 6B_1044/2013 du 4 mars 2014 consid. 3.1), qui doit toutefois motiver sa décision de manière suffisante (cf. art. 50 CP) afin de permettre de vérifier s'il a été tenu compte de tous les éléments pertinents et comment ils ont été appréciés (cf. ATF 134 IV 1, consid. 4.2.1 p. 5 ; arrêt du Tribunal fédéral 6B_1044/2013 du 4 mars 2014 consid. 3.1).</w:t>
      </w:r>
    </w:p>
    <w:p>
      <w:r>
        <w:t>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ATF 134 IV 1 consid. 4.2.2 p. 5-6).</w:t>
      </w:r>
    </w:p>
    <w:p>
      <w:r>
        <w:t>3.2.1 En l'espèce, indépendamment des montants en jeux, la faute de l'appelant n'est pas anodine au regard de son comportement passé à l'égard de l'Hospice général.</w:t>
      </w:r>
    </w:p>
    <w:p>
      <w:r>
        <w:t>Sa situation personnelle ne permet pas d'expliquer ses agissements qui semblent uniquement motivés par l'attrait de l'argent facile et la cupidité.</w:t>
      </w:r>
    </w:p>
    <w:p>
      <w:r>
        <w:t>Ses antécédents sont mauvais puisqu'il a été condamné une dizaine de fois, dont quatre pour escroquerie ou tentative d'escroquerie, ce qui indique qu'il n'a nullement pris conscience du caractère répréhensible de ses actes.</w:t>
      </w:r>
    </w:p>
    <w:p>
      <w:r>
        <w:t>Sa collaboration à l'enquête a été moyenne dans la mesure où il a reconnu partiellement les faits mais a varié dans ses explications.</w:t>
      </w:r>
    </w:p>
    <w:p>
      <w:r>
        <w:t>Au regard de l'ensemble de ces éléments, la peine fixée par le tribunal de première instance de 80 jours-amende est adéquate et correspond à la faute de l'appelant. Il en va de même pour la quotité de CHF 40.-, qui n'est d'ailleurs pas contestée.</w:t>
      </w:r>
    </w:p>
    <w:p>
      <w:r>
        <w:t>Les conditions du sursis n'étant pas réalisées au regard de la condamnation à une peine de six mois au moins dans les cinq ans qui ont précédé l'infraction et du pronostic défavorable, la peine infligée par le premier juge doit être confirmée.</w:t>
      </w:r>
    </w:p>
    <w:p>
      <w:r>
        <w:t>- 11/14 – P/13728/2012</w:t>
      </w:r>
    </w:p>
    <w:p>
      <w:r>
        <w:rPr>
          <w:b/>
        </w:rPr>
        <w:t>E. 4</w:t>
      </w:r>
    </w:p>
    <w:p>
      <w:r>
        <w:t>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w:t>
      </w:r>
    </w:p>
    <w:p>
      <w:r>
        <w:t>À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w:t>
      </w:r>
    </w:p>
    <w:p>
      <w:r>
        <w:t>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w:t>
      </w:r>
    </w:p>
    <w:p>
      <w:r>
        <w:t>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w:t>
      </w:r>
    </w:p>
    <w:p>
      <w:r>
        <w:t>4.1.1 Par arrêt du 6 novembre 2014 dans les causes BB.2014.26 et BB.2014.136-137,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 gratuit, ce qui ouvrirait la voie à l'appel,</w:t>
      </w:r>
    </w:p>
    <w:p>
      <w:r>
        <w:t>- 12/14 – P/13728/2012 respectivement au recours, s'agissant de la taxation par l'autorité de première instance, la juridiction d'appel n'étant compétente, au sens de l'art. 135 al. 2 du code de procédure pénale suisse du 5 octobre 2007 (CPP - RS 312.0) que pour taxer l'activité postérieure à sa saisine.</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w:t>
      </w:r>
    </w:p>
    <w:p>
      <w:r>
        <w:t>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t>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w:t>
      </w:r>
    </w:p>
    <w:p>
      <w:r>
        <w:t>4.2.1 La CPAR n'étant compétente que pour taxer l'activité déployée devant elle, seule entrent en considération une heure de préparation de l'audience par le chef d'étude et les trois heures effectuées par sa stagiaire, selon l'état de frais complémentaire. N'ayant pas assisté à l'audience d'appel, le chef d'étude n'avait pas à la préparer. La CPAR l'indemnisera donc à concurrence de trois heures d'activité au tarif réservé à l'avocat stagiaire auxquelles il convient d'ajouter 30 minutes pour la participation à l'audience, ce qui correspond à une indemnité de base de CHF 227.50.</w:t>
      </w:r>
    </w:p>
    <w:p>
      <w:r>
        <w:t>Il convient d'allouer en sus l'indemnisation forfaitaire de 20%, soit CHF 45.50 plus la TVA de CHF 21.84. * * * * *</w:t>
      </w:r>
    </w:p>
    <w:p>
      <w:r>
        <w:t>- 13/14 – P/13728/2012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