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AARP/419/2020 vom 22. Dezember 2020</w:t>
      </w:r>
    </w:p>
    <w:p>
      <w:r>
        <w:t>GE Cour de justice, 2020-12-22, FR</w:t>
      </w:r>
    </w:p>
    <w:p>
      <w:r>
        <w:rPr>
          <w:b/>
        </w:rPr>
        <w:t xml:space="preserve">Quelle: </w:t>
      </w:r>
      <w:r>
        <w:t>https://mcp.opencaselaw.ch/entscheid/ge_gerichte_AARP_419_2020</w:t>
      </w:r>
    </w:p>
    <w:p>
      <w:r>
        <w:t>FR: GE_GERICHTE AARP/419/2020 du 22 décembre 2020</w:t>
      </w:r>
    </w:p>
    <w:p>
      <w:r>
        <w:t>IT: GE_GERICHTE AARP/419/2020 del 22 dicembre 2020</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p. 335).</w:t>
      </w:r>
    </w:p>
    <w:p>
      <w:r>
        <w:t>1.2.1. Aux termes de l'art. 88 al. 1 LAVS, sera puni d'une amende, à moins qu'il ne s'agisse d'un cas prévu à l'art. 87 LAVS, celui qui viole son obligation de renseigner en donnant sciemment des renseignements inexacts ou refuse d'en donner. Selon l'art. 89 al. 1 LAVS, si l'infraction est commise dans la gestion d'une personne morale, d'une société de personnes ou d'une maison à raison commerciale individuelle, les dispositions pénales des art. 87 et 88 LAVS sont applicables aux personnes qui ont agi ou auraient dû agir en son nom. En règle générale, la personne morale, la société de personnes ou le titulaire de la maison à raison commerciale individuelle sont toutefois tenus solidairement du paiement de l'amende et des frais. L'art. 91 al. 1 LAVS dispose que celui qui se rend coupable d'une infraction aux prescriptions d'ordre et de contrôle sans que cette infraction soit punissable conformément aux art. 87 et 88 LAVS, sera, après avertissement, puni par la caisse de compensation d'une amende d'ordre de CHF 1'000.- au plus. En cas de récidive dans les deux ans, une amende allant jusqu'à CHF 5'000.- pourra être prononcée.</w:t>
      </w:r>
    </w:p>
    <w:p>
      <w:r>
        <w:t>- 6/8 - P/24155/2018</w:t>
      </w:r>
    </w:p>
    <w:p>
      <w:r>
        <w:t>1.2.2. L'obligation de renseigner, au sens de l'art. 88 al. 1 LAVS, est celle visée par l'art. 209 al. 2 et 3 du règlement sur l'assurance-vieillesse et survivants (RAVS ; G. WEISSBRODT, Les dispositions pénales LAVS, in Panorama III en droit du travail, 2017, 407 ss, 433 ; Directives de l'OFAS sur la perception des cotisations [DP] dans l'AVS, AI et APG, état : 1er janvier 2020, n° 9010). Aux termes de l'art. 209 RAVS, les personnes exerçant une activité lucrative indépendante, les personnes n'exerçant aucune activité lucrative et les salariés dont l'employeur n'est pas tenu de payer des cotisations doivent fournir aux caisses de compensation des renseignements conformes à la vérité, dans la mesure où ces renseignements sont nécessaires à l'application de l'assurance-vieillesse et survivants (al. 2). Les caisses de compensation, les employeurs et tous les autres organes et personnes chargés de l'exécution de la LAVS ou du contrôle de cette exécution, ainsi que les assurés sont tenus de donner à l'OFAS tous les renseignements et de lui communiquer toutes les pièces dont il a besoin dans l'exercice de sa surveillance (al. 3).</w:t>
      </w:r>
    </w:p>
    <w:p>
      <w:r>
        <w:rPr>
          <w:b/>
        </w:rPr>
        <w:t>E. 1.3</w:t>
      </w:r>
    </w:p>
    <w:p>
      <w:r>
        <w:t>En l'espèce, à teneur de l'arrêt de renvoi (voir supra lit. A.e), l'appelant doit être libéré du chef de prévention de contravention au sens de l'art. 88 al. 1 LAVS. En effet, il ressort des art. 88 al. 1 LAVS cum 209 al. 2 et 3 RAVS que seuls les employeurs sont tenus de fournir tous les renseignements et pièces nécessaires aux caisses de compensation. Or, il ne ressort pas du dossier, en particulier des bilans et des comptes de pertes et profits ainsi que des déclarations de A______, que B______ SA aurait jamais employé du personnel, quand bien même elle a été affiliée d'office à une caisse de compensation en qualité d'employeur, par décision de l'OCAS du 25 juillet 2016, avec effet rétroactif au 1er ______ 2011. Par conséquent, B______ SA, et donc l'appelant en sa qualité d'administrateur, n'ont pas violé leur obligation de renseigner au sens de l'art. 88 al. 1 LAVS, en refusant de donner les renseignements requis. L'appelant sera, partant, acquitté et le jugement réformé en ce sens.</w:t>
      </w:r>
    </w:p>
    <w:p>
      <w:r>
        <w:rPr>
          <w:b/>
        </w:rPr>
        <w:t>E. 2</w:t>
      </w:r>
    </w:p>
    <w:p>
      <w:r>
        <w:t>2.1.1. Le prévenu supporte les frais de procédure de première instance s'il est condamné (art. 426 al. 1 CPP). 2.1.2. Les frais de la procédure d'appel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w:t>
      </w:r>
    </w:p>
    <w:p>
      <w:r>
        <w:t>- 7/8 - P/24155/2018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 2.1.3. Si l'autorité de recours rend une nouvelle décision, elle se prononce également sur les frais fixés par l'autorité inférieure (art. 428 al. 3 CPP). 2.1.4.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l'Etat si l'autorité d'appel doit revoir favorablement sa décision à la suite de l'arrêt de renvoi (arrêt du Tribunal fédéral 6B_1367/2017 du 13 avril 2018 consid. 2.1).</w:t>
      </w:r>
    </w:p>
    <w:p>
      <w:r>
        <w:rPr>
          <w:b/>
        </w:rPr>
        <w:t>E. 2.2</w:t>
      </w:r>
    </w:p>
    <w:p>
      <w:r>
        <w:t>En l'espèce, compte tenu de l'acquittement prononcé, les frais de la procédure de première instance seront laissés à la charge de l'Etat.</w:t>
      </w:r>
    </w:p>
    <w:p>
      <w:r>
        <w:rPr>
          <w:b/>
        </w:rPr>
        <w:t>E. 2.3</w:t>
      </w:r>
    </w:p>
    <w:p>
      <w:r>
        <w:t>S'agissant de la procédure d'appel antérieure à l'arrêt du TF, l'intégralité des frais, qui comprennent un émolument de CHF 1'500.- (art. 14 al. 1 let. e du règlement fixant le tarif des frais en matière pénale [RTFMP]), sera laissée à la charge de l'Etat, compte tenu de l'issue de la procédure.</w:t>
      </w:r>
    </w:p>
    <w:p>
      <w:r>
        <w:rPr>
          <w:b/>
        </w:rPr>
        <w:t>E. 2.4</w:t>
      </w:r>
    </w:p>
    <w:p>
      <w:r>
        <w:t>Il en va de même des frais de la procédure d'appel postérieure à l'arrêt du TF, comprenant un émolument de CHF 800.-, lesquels seront laissés à la charge de l'Etat. * * * * *</w:t>
      </w:r>
    </w:p>
    <w:p>
      <w:r>
        <w:t>- 8/8 - P/24155/2018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